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A6" w:rsidRPr="00370C53" w:rsidRDefault="000D5166" w:rsidP="00994FA6">
      <w:pPr>
        <w:pStyle w:val="3"/>
        <w:outlineLvl w:val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A6" w:rsidRPr="00370C53" w:rsidRDefault="00994FA6" w:rsidP="00994FA6">
      <w:pPr>
        <w:ind w:firstLine="708"/>
      </w:pPr>
    </w:p>
    <w:p w:rsidR="00994FA6" w:rsidRPr="00370C53" w:rsidRDefault="00994FA6" w:rsidP="00994FA6">
      <w:pPr>
        <w:pStyle w:val="3"/>
        <w:outlineLvl w:val="0"/>
        <w:rPr>
          <w:sz w:val="36"/>
          <w:szCs w:val="36"/>
        </w:rPr>
      </w:pPr>
      <w:r w:rsidRPr="00370C53">
        <w:rPr>
          <w:sz w:val="36"/>
          <w:szCs w:val="36"/>
        </w:rPr>
        <w:t>СЧЕТНАЯ ПАЛАТА</w:t>
      </w:r>
    </w:p>
    <w:p w:rsidR="00994FA6" w:rsidRPr="00370C53" w:rsidRDefault="00994FA6" w:rsidP="00994FA6">
      <w:pPr>
        <w:pStyle w:val="3"/>
        <w:outlineLvl w:val="0"/>
        <w:rPr>
          <w:sz w:val="36"/>
          <w:szCs w:val="36"/>
        </w:rPr>
      </w:pPr>
      <w:r w:rsidRPr="00370C53">
        <w:rPr>
          <w:sz w:val="36"/>
          <w:szCs w:val="36"/>
        </w:rPr>
        <w:t>ГОРОДА ЛИПЕЦКА</w:t>
      </w:r>
    </w:p>
    <w:p w:rsidR="00994FA6" w:rsidRPr="00370C53" w:rsidRDefault="00994FA6" w:rsidP="00994FA6">
      <w:pPr>
        <w:pStyle w:val="3"/>
        <w:outlineLvl w:val="0"/>
        <w:rPr>
          <w:sz w:val="36"/>
          <w:szCs w:val="36"/>
        </w:rPr>
      </w:pP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  <w:r w:rsidRPr="00370C53">
        <w:rPr>
          <w:sz w:val="32"/>
          <w:u w:val="single"/>
        </w:rPr>
        <w:tab/>
      </w:r>
    </w:p>
    <w:p w:rsidR="00994FA6" w:rsidRPr="00370C53" w:rsidRDefault="00075E24" w:rsidP="00994FA6">
      <w:pPr>
        <w:pStyle w:val="3"/>
        <w:jc w:val="lef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194310</wp:posOffset>
                </wp:positionV>
                <wp:extent cx="321564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498" y="21240"/>
                    <wp:lineTo x="21498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82"/>
                            </w:tblGrid>
                            <w:tr w:rsidR="00820C60">
                              <w:tc>
                                <w:tcPr>
                                  <w:tcW w:w="4282" w:type="dxa"/>
                                </w:tcPr>
                                <w:p w:rsidR="00820C60" w:rsidRDefault="00820C6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20C60" w:rsidRDefault="00820C6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398001, г. Липецк, ул.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Советская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, 22</w:t>
                                  </w:r>
                                </w:p>
                              </w:tc>
                            </w:tr>
                            <w:tr w:rsidR="00820C60">
                              <w:trPr>
                                <w:trHeight w:val="530"/>
                              </w:trPr>
                              <w:tc>
                                <w:tcPr>
                                  <w:tcW w:w="4282" w:type="dxa"/>
                                </w:tcPr>
                                <w:p w:rsidR="00820C60" w:rsidRDefault="00820C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20C60" w:rsidRDefault="0037623E" w:rsidP="00AD109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15.11.2019</w:t>
                                  </w:r>
                                  <w:r w:rsidR="00820C60">
                                    <w:rPr>
                                      <w:sz w:val="24"/>
                                      <w:u w:val="single"/>
                                    </w:rPr>
                                    <w:t xml:space="preserve">   </w:t>
                                  </w:r>
                                  <w:r w:rsidR="00820C60">
                                    <w:rPr>
                                      <w:sz w:val="24"/>
                                    </w:rPr>
                                    <w:t xml:space="preserve">№  </w:t>
                                  </w:r>
                                  <w:r w:rsidR="00BE2473">
                                    <w:rPr>
                                      <w:sz w:val="24"/>
                                      <w:u w:val="single"/>
                                    </w:rPr>
                                    <w:t>85</w:t>
                                  </w:r>
                                  <w:r w:rsidR="00820C60">
                                    <w:rPr>
                                      <w:sz w:val="24"/>
                                      <w:u w:val="single"/>
                                    </w:rPr>
                                    <w:t>-03-01</w:t>
                                  </w:r>
                                </w:p>
                              </w:tc>
                            </w:tr>
                            <w:tr w:rsidR="00820C60">
                              <w:trPr>
                                <w:trHeight w:val="429"/>
                              </w:trPr>
                              <w:tc>
                                <w:tcPr>
                                  <w:tcW w:w="4282" w:type="dxa"/>
                                </w:tcPr>
                                <w:p w:rsidR="00820C60" w:rsidRDefault="00820C60" w:rsidP="00AD109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на № </w:t>
                                  </w:r>
                                  <w:r w:rsidRPr="0044780B">
                                    <w:rPr>
                                      <w:sz w:val="24"/>
                                      <w:u w:val="single"/>
                                    </w:rPr>
                                    <w:t>01-12/19-2</w:t>
                                  </w:r>
                                  <w:r w:rsidR="0037623E">
                                    <w:rPr>
                                      <w:sz w:val="24"/>
                                      <w:u w:val="single"/>
                                    </w:rPr>
                                    <w:t>053</w:t>
                                  </w:r>
                                  <w:r w:rsidRPr="0044780B">
                                    <w:rPr>
                                      <w:sz w:val="24"/>
                                      <w:u w:val="single"/>
                                    </w:rPr>
                                    <w:t xml:space="preserve"> от </w:t>
                                  </w:r>
                                  <w:r w:rsidR="0037623E">
                                    <w:rPr>
                                      <w:sz w:val="24"/>
                                      <w:u w:val="single"/>
                                    </w:rPr>
                                    <w:t>31.10</w:t>
                                  </w:r>
                                  <w:r w:rsidRPr="0044780B">
                                    <w:rPr>
                                      <w:sz w:val="24"/>
                                      <w:u w:val="single"/>
                                    </w:rPr>
                                    <w:t>.201</w:t>
                                  </w:r>
                                  <w:r w:rsidR="0037623E">
                                    <w:rPr>
                                      <w:sz w:val="24"/>
                                      <w:u w:val="single"/>
                                    </w:rPr>
                                    <w:t>9</w:t>
                                  </w:r>
                                </w:p>
                                <w:p w:rsidR="00820C60" w:rsidRDefault="00820C6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820C60" w:rsidRDefault="00820C6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820C60" w:rsidRDefault="00820C6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0C60" w:rsidRDefault="00820C60" w:rsidP="00994FA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5.3pt;width:253.2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82"/>
                      </w:tblGrid>
                      <w:tr w:rsidR="00820C60">
                        <w:tc>
                          <w:tcPr>
                            <w:tcW w:w="4282" w:type="dxa"/>
                          </w:tcPr>
                          <w:p w:rsidR="00820C60" w:rsidRDefault="00820C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20C60" w:rsidRDefault="00820C6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398001, г. Липецк, ул.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Советская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, 22</w:t>
                            </w:r>
                          </w:p>
                        </w:tc>
                      </w:tr>
                      <w:tr w:rsidR="00820C60">
                        <w:trPr>
                          <w:trHeight w:val="530"/>
                        </w:trPr>
                        <w:tc>
                          <w:tcPr>
                            <w:tcW w:w="4282" w:type="dxa"/>
                          </w:tcPr>
                          <w:p w:rsidR="00820C60" w:rsidRDefault="00820C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0C60" w:rsidRDefault="0037623E" w:rsidP="00AD10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15.11.2019</w:t>
                            </w:r>
                            <w:r w:rsidR="00820C60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820C60">
                              <w:rPr>
                                <w:sz w:val="24"/>
                              </w:rPr>
                              <w:t xml:space="preserve">№  </w:t>
                            </w:r>
                            <w:r w:rsidR="00BE2473">
                              <w:rPr>
                                <w:sz w:val="24"/>
                                <w:u w:val="single"/>
                              </w:rPr>
                              <w:t>85</w:t>
                            </w:r>
                            <w:r w:rsidR="00820C60">
                              <w:rPr>
                                <w:sz w:val="24"/>
                                <w:u w:val="single"/>
                              </w:rPr>
                              <w:t>-03-01</w:t>
                            </w:r>
                          </w:p>
                        </w:tc>
                      </w:tr>
                      <w:tr w:rsidR="00820C60">
                        <w:trPr>
                          <w:trHeight w:val="429"/>
                        </w:trPr>
                        <w:tc>
                          <w:tcPr>
                            <w:tcW w:w="4282" w:type="dxa"/>
                          </w:tcPr>
                          <w:p w:rsidR="00820C60" w:rsidRDefault="00820C60" w:rsidP="00AD10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на № </w:t>
                            </w:r>
                            <w:r w:rsidRPr="0044780B">
                              <w:rPr>
                                <w:sz w:val="24"/>
                                <w:u w:val="single"/>
                              </w:rPr>
                              <w:t>01-12/19-2</w:t>
                            </w:r>
                            <w:r w:rsidR="0037623E">
                              <w:rPr>
                                <w:sz w:val="24"/>
                                <w:u w:val="single"/>
                              </w:rPr>
                              <w:t>053</w:t>
                            </w:r>
                            <w:r w:rsidRPr="0044780B">
                              <w:rPr>
                                <w:sz w:val="24"/>
                                <w:u w:val="single"/>
                              </w:rPr>
                              <w:t xml:space="preserve"> от </w:t>
                            </w:r>
                            <w:r w:rsidR="0037623E">
                              <w:rPr>
                                <w:sz w:val="24"/>
                                <w:u w:val="single"/>
                              </w:rPr>
                              <w:t>31.10</w:t>
                            </w:r>
                            <w:r w:rsidRPr="0044780B">
                              <w:rPr>
                                <w:sz w:val="24"/>
                                <w:u w:val="single"/>
                              </w:rPr>
                              <w:t>.201</w:t>
                            </w:r>
                            <w:r w:rsidR="0037623E">
                              <w:rPr>
                                <w:sz w:val="24"/>
                                <w:u w:val="single"/>
                              </w:rPr>
                              <w:t>9</w:t>
                            </w:r>
                          </w:p>
                          <w:p w:rsidR="00820C60" w:rsidRDefault="00820C6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20C60" w:rsidRDefault="00820C6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20C60" w:rsidRDefault="00820C6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20C60" w:rsidRDefault="00820C60" w:rsidP="00994FA6">
                      <w:pPr>
                        <w:pStyle w:val="a3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94FA6" w:rsidRPr="00370C53" w:rsidRDefault="00994FA6" w:rsidP="00994FA6">
      <w:pPr>
        <w:jc w:val="center"/>
        <w:rPr>
          <w:sz w:val="27"/>
          <w:szCs w:val="27"/>
        </w:rPr>
      </w:pPr>
    </w:p>
    <w:p w:rsidR="00CF703D" w:rsidRDefault="00BE2473" w:rsidP="004402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города Липецка </w:t>
      </w:r>
    </w:p>
    <w:p w:rsidR="00BE2473" w:rsidRPr="001C28AF" w:rsidRDefault="00BE2473" w:rsidP="00440213">
      <w:pPr>
        <w:jc w:val="center"/>
        <w:rPr>
          <w:sz w:val="28"/>
          <w:szCs w:val="28"/>
        </w:rPr>
      </w:pPr>
      <w:r>
        <w:rPr>
          <w:sz w:val="28"/>
          <w:szCs w:val="28"/>
        </w:rPr>
        <w:t>Е.Ю. Уваркиной</w:t>
      </w:r>
    </w:p>
    <w:p w:rsidR="00994FA6" w:rsidRPr="00370C53" w:rsidRDefault="00994FA6" w:rsidP="00994FA6">
      <w:pPr>
        <w:rPr>
          <w:b/>
          <w:sz w:val="28"/>
          <w:szCs w:val="28"/>
        </w:rPr>
      </w:pPr>
    </w:p>
    <w:p w:rsidR="00BA63B6" w:rsidRDefault="00BA63B6" w:rsidP="00BA63B6">
      <w:pPr>
        <w:rPr>
          <w:b/>
          <w:sz w:val="28"/>
          <w:szCs w:val="28"/>
        </w:rPr>
      </w:pPr>
    </w:p>
    <w:p w:rsidR="003A6D6B" w:rsidRPr="00370C53" w:rsidRDefault="003A6D6B" w:rsidP="00871544">
      <w:pPr>
        <w:rPr>
          <w:b/>
          <w:sz w:val="28"/>
          <w:szCs w:val="28"/>
        </w:rPr>
      </w:pPr>
    </w:p>
    <w:p w:rsidR="00440213" w:rsidRDefault="00440213" w:rsidP="00994FA6">
      <w:pPr>
        <w:jc w:val="center"/>
        <w:rPr>
          <w:b/>
          <w:sz w:val="28"/>
          <w:szCs w:val="28"/>
        </w:rPr>
      </w:pPr>
    </w:p>
    <w:p w:rsidR="00CE0595" w:rsidRDefault="00CE0595" w:rsidP="00994FA6">
      <w:pPr>
        <w:jc w:val="center"/>
        <w:rPr>
          <w:b/>
          <w:sz w:val="28"/>
          <w:szCs w:val="28"/>
        </w:rPr>
      </w:pPr>
    </w:p>
    <w:p w:rsidR="00994FA6" w:rsidRPr="0004585A" w:rsidRDefault="00994FA6" w:rsidP="00994FA6">
      <w:pPr>
        <w:jc w:val="center"/>
        <w:rPr>
          <w:b/>
          <w:sz w:val="28"/>
          <w:szCs w:val="28"/>
        </w:rPr>
      </w:pPr>
      <w:r w:rsidRPr="0004585A">
        <w:rPr>
          <w:b/>
          <w:sz w:val="28"/>
          <w:szCs w:val="28"/>
        </w:rPr>
        <w:t>ЗАКЛЮЧЕНИЕ</w:t>
      </w:r>
    </w:p>
    <w:p w:rsidR="00994FA6" w:rsidRPr="0004585A" w:rsidRDefault="00994FA6" w:rsidP="00994FA6">
      <w:pPr>
        <w:jc w:val="center"/>
        <w:rPr>
          <w:b/>
          <w:sz w:val="28"/>
          <w:szCs w:val="28"/>
        </w:rPr>
      </w:pPr>
      <w:r w:rsidRPr="0004585A">
        <w:rPr>
          <w:b/>
          <w:sz w:val="28"/>
          <w:szCs w:val="28"/>
        </w:rPr>
        <w:t xml:space="preserve">Счетной палаты города Липецка </w:t>
      </w:r>
    </w:p>
    <w:p w:rsidR="00994FA6" w:rsidRPr="0004585A" w:rsidRDefault="00994FA6" w:rsidP="00994FA6">
      <w:pPr>
        <w:jc w:val="center"/>
        <w:rPr>
          <w:b/>
          <w:sz w:val="28"/>
          <w:szCs w:val="28"/>
        </w:rPr>
      </w:pPr>
      <w:r w:rsidRPr="0004585A">
        <w:rPr>
          <w:b/>
          <w:sz w:val="28"/>
          <w:szCs w:val="28"/>
        </w:rPr>
        <w:t>на проек</w:t>
      </w:r>
      <w:r w:rsidR="00CD4C5B" w:rsidRPr="0004585A">
        <w:rPr>
          <w:b/>
          <w:sz w:val="28"/>
          <w:szCs w:val="28"/>
        </w:rPr>
        <w:t xml:space="preserve">т </w:t>
      </w:r>
      <w:r w:rsidR="008919E2">
        <w:rPr>
          <w:b/>
          <w:sz w:val="28"/>
          <w:szCs w:val="28"/>
        </w:rPr>
        <w:t>Б</w:t>
      </w:r>
      <w:r w:rsidR="00FF6F4A" w:rsidRPr="0004585A">
        <w:rPr>
          <w:b/>
          <w:sz w:val="28"/>
          <w:szCs w:val="28"/>
        </w:rPr>
        <w:t>юджета города Липецка на 20</w:t>
      </w:r>
      <w:r w:rsidR="001C28AF">
        <w:rPr>
          <w:b/>
          <w:sz w:val="28"/>
          <w:szCs w:val="28"/>
        </w:rPr>
        <w:t>20</w:t>
      </w:r>
      <w:r w:rsidRPr="0004585A">
        <w:rPr>
          <w:b/>
          <w:sz w:val="28"/>
          <w:szCs w:val="28"/>
        </w:rPr>
        <w:t xml:space="preserve"> год </w:t>
      </w:r>
      <w:r w:rsidR="00E13B01" w:rsidRPr="0004585A">
        <w:rPr>
          <w:b/>
          <w:sz w:val="28"/>
          <w:szCs w:val="28"/>
        </w:rPr>
        <w:t xml:space="preserve">и на плановый период </w:t>
      </w:r>
      <w:r w:rsidR="0004585A" w:rsidRPr="0004585A">
        <w:rPr>
          <w:b/>
          <w:sz w:val="28"/>
          <w:szCs w:val="28"/>
        </w:rPr>
        <w:t>202</w:t>
      </w:r>
      <w:r w:rsidR="001C28AF">
        <w:rPr>
          <w:b/>
          <w:sz w:val="28"/>
          <w:szCs w:val="28"/>
        </w:rPr>
        <w:t>1</w:t>
      </w:r>
      <w:r w:rsidR="00E13B01" w:rsidRPr="0004585A">
        <w:rPr>
          <w:b/>
          <w:sz w:val="28"/>
          <w:szCs w:val="28"/>
        </w:rPr>
        <w:t xml:space="preserve"> и 20</w:t>
      </w:r>
      <w:r w:rsidR="00BA63B6" w:rsidRPr="0004585A">
        <w:rPr>
          <w:b/>
          <w:sz w:val="28"/>
          <w:szCs w:val="28"/>
        </w:rPr>
        <w:t>2</w:t>
      </w:r>
      <w:r w:rsidR="001C28AF">
        <w:rPr>
          <w:b/>
          <w:sz w:val="28"/>
          <w:szCs w:val="28"/>
        </w:rPr>
        <w:t>2</w:t>
      </w:r>
      <w:r w:rsidR="00E13B01" w:rsidRPr="0004585A">
        <w:rPr>
          <w:b/>
          <w:sz w:val="28"/>
          <w:szCs w:val="28"/>
        </w:rPr>
        <w:t xml:space="preserve"> год</w:t>
      </w:r>
      <w:r w:rsidR="00A8173C" w:rsidRPr="0004585A">
        <w:rPr>
          <w:b/>
          <w:sz w:val="28"/>
          <w:szCs w:val="28"/>
        </w:rPr>
        <w:t>ов</w:t>
      </w:r>
    </w:p>
    <w:p w:rsidR="00192428" w:rsidRPr="001B2615" w:rsidRDefault="00192428" w:rsidP="005278B8">
      <w:pPr>
        <w:rPr>
          <w:b/>
          <w:color w:val="FF0000"/>
          <w:sz w:val="28"/>
          <w:szCs w:val="28"/>
        </w:rPr>
      </w:pPr>
    </w:p>
    <w:p w:rsidR="00994FA6" w:rsidRPr="0004585A" w:rsidRDefault="00994FA6" w:rsidP="00994FA6">
      <w:pPr>
        <w:jc w:val="center"/>
        <w:rPr>
          <w:b/>
          <w:sz w:val="28"/>
          <w:szCs w:val="28"/>
        </w:rPr>
      </w:pPr>
      <w:r w:rsidRPr="0004585A">
        <w:rPr>
          <w:b/>
          <w:sz w:val="28"/>
          <w:szCs w:val="28"/>
        </w:rPr>
        <w:t>1. Общие положения</w:t>
      </w:r>
    </w:p>
    <w:p w:rsidR="0008632D" w:rsidRPr="0004585A" w:rsidRDefault="0008632D" w:rsidP="005278B8">
      <w:pPr>
        <w:rPr>
          <w:b/>
          <w:sz w:val="28"/>
          <w:szCs w:val="28"/>
        </w:rPr>
      </w:pPr>
    </w:p>
    <w:p w:rsidR="00994FA6" w:rsidRPr="0004585A" w:rsidRDefault="00994FA6" w:rsidP="00994FA6">
      <w:pPr>
        <w:jc w:val="both"/>
        <w:rPr>
          <w:sz w:val="28"/>
          <w:szCs w:val="28"/>
        </w:rPr>
      </w:pPr>
      <w:r w:rsidRPr="0004585A">
        <w:rPr>
          <w:sz w:val="28"/>
          <w:szCs w:val="28"/>
        </w:rPr>
        <w:tab/>
      </w:r>
      <w:proofErr w:type="gramStart"/>
      <w:r w:rsidRPr="0004585A">
        <w:rPr>
          <w:sz w:val="28"/>
          <w:szCs w:val="28"/>
        </w:rPr>
        <w:t>Заключение Счетной п</w:t>
      </w:r>
      <w:r w:rsidR="00CD4C5B" w:rsidRPr="0004585A">
        <w:rPr>
          <w:sz w:val="28"/>
          <w:szCs w:val="28"/>
        </w:rPr>
        <w:t xml:space="preserve">алаты города Липецка на проект </w:t>
      </w:r>
      <w:r w:rsidR="008919E2">
        <w:rPr>
          <w:sz w:val="28"/>
          <w:szCs w:val="28"/>
        </w:rPr>
        <w:t>Б</w:t>
      </w:r>
      <w:r w:rsidRPr="0004585A">
        <w:rPr>
          <w:sz w:val="28"/>
          <w:szCs w:val="28"/>
        </w:rPr>
        <w:t>юджета города Липецка на 20</w:t>
      </w:r>
      <w:r w:rsidR="000B2B0B">
        <w:rPr>
          <w:sz w:val="28"/>
          <w:szCs w:val="28"/>
        </w:rPr>
        <w:t>20</w:t>
      </w:r>
      <w:r w:rsidRPr="0004585A">
        <w:rPr>
          <w:sz w:val="28"/>
          <w:szCs w:val="28"/>
        </w:rPr>
        <w:t xml:space="preserve"> год</w:t>
      </w:r>
      <w:r w:rsidR="00A66CA8" w:rsidRPr="0004585A">
        <w:rPr>
          <w:sz w:val="28"/>
          <w:szCs w:val="28"/>
        </w:rPr>
        <w:t xml:space="preserve"> и на плановый период 20</w:t>
      </w:r>
      <w:r w:rsidR="0004585A" w:rsidRPr="0004585A">
        <w:rPr>
          <w:sz w:val="28"/>
          <w:szCs w:val="28"/>
        </w:rPr>
        <w:t>2</w:t>
      </w:r>
      <w:r w:rsidR="000B2B0B">
        <w:rPr>
          <w:sz w:val="28"/>
          <w:szCs w:val="28"/>
        </w:rPr>
        <w:t>1</w:t>
      </w:r>
      <w:r w:rsidR="00A66CA8" w:rsidRPr="0004585A">
        <w:rPr>
          <w:sz w:val="28"/>
          <w:szCs w:val="28"/>
        </w:rPr>
        <w:t xml:space="preserve"> и 20</w:t>
      </w:r>
      <w:r w:rsidR="00E237A7" w:rsidRPr="0004585A">
        <w:rPr>
          <w:sz w:val="28"/>
          <w:szCs w:val="28"/>
        </w:rPr>
        <w:t>2</w:t>
      </w:r>
      <w:r w:rsidR="000B2B0B">
        <w:rPr>
          <w:sz w:val="28"/>
          <w:szCs w:val="28"/>
        </w:rPr>
        <w:t>2</w:t>
      </w:r>
      <w:r w:rsidR="00A66CA8" w:rsidRPr="0004585A">
        <w:rPr>
          <w:sz w:val="28"/>
          <w:szCs w:val="28"/>
        </w:rPr>
        <w:t xml:space="preserve"> год</w:t>
      </w:r>
      <w:r w:rsidR="00A8173C" w:rsidRPr="0004585A">
        <w:rPr>
          <w:sz w:val="28"/>
          <w:szCs w:val="28"/>
        </w:rPr>
        <w:t>ов</w:t>
      </w:r>
      <w:r w:rsidR="00A66CA8" w:rsidRPr="0004585A">
        <w:rPr>
          <w:sz w:val="28"/>
          <w:szCs w:val="28"/>
        </w:rPr>
        <w:t xml:space="preserve"> (далее з</w:t>
      </w:r>
      <w:r w:rsidRPr="0004585A">
        <w:rPr>
          <w:sz w:val="28"/>
          <w:szCs w:val="28"/>
        </w:rPr>
        <w:t>аключение) подготовлено в соответствии с Бюджетным кодексом РФ,</w:t>
      </w:r>
      <w:r w:rsidR="003D3B3F" w:rsidRPr="0004585A">
        <w:rPr>
          <w:sz w:val="28"/>
          <w:szCs w:val="28"/>
        </w:rPr>
        <w:t xml:space="preserve"> Фед</w:t>
      </w:r>
      <w:r w:rsidR="005E1876" w:rsidRPr="0004585A">
        <w:rPr>
          <w:sz w:val="28"/>
          <w:szCs w:val="28"/>
        </w:rPr>
        <w:t>еральным законом от 07.02.2011 №6-</w:t>
      </w:r>
      <w:r w:rsidR="003D3B3F" w:rsidRPr="0004585A">
        <w:rPr>
          <w:sz w:val="28"/>
          <w:szCs w:val="28"/>
        </w:rPr>
        <w:t>ФЗ «Об общих принципах организации и деятельности контро</w:t>
      </w:r>
      <w:r w:rsidR="0072077D" w:rsidRPr="0004585A">
        <w:rPr>
          <w:sz w:val="28"/>
          <w:szCs w:val="28"/>
        </w:rPr>
        <w:t>льно-счетных органов субъектов Р</w:t>
      </w:r>
      <w:r w:rsidR="003D3B3F" w:rsidRPr="0004585A">
        <w:rPr>
          <w:sz w:val="28"/>
          <w:szCs w:val="28"/>
        </w:rPr>
        <w:t>оссийской Федерации и муниципальных образований</w:t>
      </w:r>
      <w:r w:rsidR="007D0340" w:rsidRPr="0004585A">
        <w:rPr>
          <w:sz w:val="28"/>
          <w:szCs w:val="28"/>
        </w:rPr>
        <w:t>»</w:t>
      </w:r>
      <w:r w:rsidR="003D3B3F" w:rsidRPr="0004585A">
        <w:rPr>
          <w:sz w:val="28"/>
          <w:szCs w:val="28"/>
        </w:rPr>
        <w:t xml:space="preserve">, </w:t>
      </w:r>
      <w:r w:rsidRPr="0004585A">
        <w:rPr>
          <w:sz w:val="28"/>
          <w:szCs w:val="28"/>
        </w:rPr>
        <w:t xml:space="preserve"> Уставом города Липецка, Положениями «Об основах бюджетного устройства и бюджетного процесса</w:t>
      </w:r>
      <w:proofErr w:type="gramEnd"/>
      <w:r w:rsidRPr="0004585A">
        <w:rPr>
          <w:sz w:val="28"/>
          <w:szCs w:val="28"/>
        </w:rPr>
        <w:t xml:space="preserve"> в городе Липецке», «О Счетной палате города Липецка», иными актами законодательства Российской Федерации, Липецкой области и города Липецка</w:t>
      </w:r>
      <w:r w:rsidR="00CD4C5B" w:rsidRPr="0004585A">
        <w:rPr>
          <w:sz w:val="28"/>
          <w:szCs w:val="28"/>
        </w:rPr>
        <w:t>, на основании стандарта внешнего муниципального</w:t>
      </w:r>
      <w:r w:rsidR="001876B4" w:rsidRPr="0004585A">
        <w:rPr>
          <w:sz w:val="28"/>
          <w:szCs w:val="28"/>
        </w:rPr>
        <w:t xml:space="preserve"> финансового контроля СФК 3/2014 «Предварительный контроль формирования бюджета города Липецка»</w:t>
      </w:r>
      <w:r w:rsidRPr="0004585A">
        <w:rPr>
          <w:sz w:val="28"/>
          <w:szCs w:val="28"/>
        </w:rPr>
        <w:t>.</w:t>
      </w:r>
    </w:p>
    <w:p w:rsidR="00994FA6" w:rsidRPr="0004585A" w:rsidRDefault="007D0340" w:rsidP="0004585A">
      <w:pPr>
        <w:jc w:val="both"/>
        <w:rPr>
          <w:sz w:val="28"/>
          <w:szCs w:val="28"/>
        </w:rPr>
      </w:pPr>
      <w:r w:rsidRPr="0004585A">
        <w:rPr>
          <w:sz w:val="28"/>
          <w:szCs w:val="28"/>
        </w:rPr>
        <w:tab/>
      </w:r>
      <w:r w:rsidR="0004585A" w:rsidRPr="0004585A">
        <w:rPr>
          <w:sz w:val="28"/>
          <w:szCs w:val="28"/>
        </w:rPr>
        <w:t>При подготовке заключения проанализирована реализация положений, сформулированных в основополагающих для составления проекта бюджета документах:</w:t>
      </w:r>
    </w:p>
    <w:p w:rsidR="00563E6B" w:rsidRDefault="00563E6B" w:rsidP="00563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Послании</w:t>
      </w:r>
      <w:proofErr w:type="gramEnd"/>
      <w:r>
        <w:rPr>
          <w:sz w:val="28"/>
          <w:szCs w:val="28"/>
        </w:rPr>
        <w:t xml:space="preserve"> Президента Российской Федерации Федеральному Собранию Российской Федерации от </w:t>
      </w:r>
      <w:r w:rsidR="000B2B0B">
        <w:rPr>
          <w:sz w:val="28"/>
          <w:szCs w:val="28"/>
        </w:rPr>
        <w:t>20 февраля 2019</w:t>
      </w:r>
      <w:r>
        <w:rPr>
          <w:sz w:val="28"/>
          <w:szCs w:val="28"/>
        </w:rPr>
        <w:t xml:space="preserve"> года;</w:t>
      </w:r>
    </w:p>
    <w:p w:rsidR="007F0D79" w:rsidRDefault="007F0D79" w:rsidP="00527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проекте</w:t>
      </w:r>
      <w:proofErr w:type="gramEnd"/>
      <w:r>
        <w:rPr>
          <w:sz w:val="28"/>
          <w:szCs w:val="28"/>
        </w:rPr>
        <w:t xml:space="preserve"> Министерства финансов РФ «Основные направления бюджетной, налоговой и таможенно-тарифной политики на 20</w:t>
      </w:r>
      <w:r w:rsidR="0061145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611451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61145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годов»;</w:t>
      </w:r>
    </w:p>
    <w:p w:rsidR="007F0D79" w:rsidRDefault="007F0D79" w:rsidP="007F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Прогнозе</w:t>
      </w:r>
      <w:proofErr w:type="gramEnd"/>
      <w:r>
        <w:rPr>
          <w:sz w:val="28"/>
          <w:szCs w:val="28"/>
        </w:rPr>
        <w:t xml:space="preserve"> социально-экономического развития города Липецка на 20</w:t>
      </w:r>
      <w:r w:rsidR="00AC0CEC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AC0CEC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AC0CEC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годов;</w:t>
      </w:r>
    </w:p>
    <w:p w:rsidR="007F0D79" w:rsidRDefault="007F0D79" w:rsidP="007F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A72">
        <w:rPr>
          <w:sz w:val="28"/>
          <w:szCs w:val="28"/>
        </w:rPr>
        <w:t>О</w:t>
      </w:r>
      <w:r>
        <w:rPr>
          <w:sz w:val="28"/>
          <w:szCs w:val="28"/>
        </w:rPr>
        <w:t xml:space="preserve">сновных </w:t>
      </w:r>
      <w:proofErr w:type="gramStart"/>
      <w:r>
        <w:rPr>
          <w:sz w:val="28"/>
          <w:szCs w:val="28"/>
        </w:rPr>
        <w:t>направлениях</w:t>
      </w:r>
      <w:proofErr w:type="gramEnd"/>
      <w:r>
        <w:rPr>
          <w:sz w:val="28"/>
          <w:szCs w:val="28"/>
        </w:rPr>
        <w:t xml:space="preserve"> бюджетной и налоговой политики города Липецка на 20</w:t>
      </w:r>
      <w:r w:rsidR="00AC0CEC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AC0CEC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AC0CEC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22390D" w:rsidRPr="0004585A" w:rsidRDefault="005E1876" w:rsidP="005278B8">
      <w:pPr>
        <w:ind w:firstLine="709"/>
        <w:jc w:val="both"/>
        <w:rPr>
          <w:sz w:val="28"/>
          <w:szCs w:val="28"/>
        </w:rPr>
      </w:pPr>
      <w:r w:rsidRPr="0004585A">
        <w:rPr>
          <w:sz w:val="28"/>
          <w:szCs w:val="28"/>
        </w:rPr>
        <w:t>В з</w:t>
      </w:r>
      <w:r w:rsidR="00994FA6" w:rsidRPr="0004585A">
        <w:rPr>
          <w:sz w:val="28"/>
          <w:szCs w:val="28"/>
        </w:rPr>
        <w:t>аключении использованы результаты контрольных и экспертно-аналитических мероприятий, проведенных Счетной палатой, проанализированы расчетные показатели участников бюджетного п</w:t>
      </w:r>
      <w:r w:rsidR="000D5A30" w:rsidRPr="0004585A">
        <w:rPr>
          <w:sz w:val="28"/>
          <w:szCs w:val="28"/>
        </w:rPr>
        <w:t xml:space="preserve">роцесса, </w:t>
      </w:r>
      <w:r w:rsidR="008919E2">
        <w:rPr>
          <w:sz w:val="28"/>
          <w:szCs w:val="28"/>
        </w:rPr>
        <w:t>м</w:t>
      </w:r>
      <w:r w:rsidR="000D5A30" w:rsidRPr="0004585A">
        <w:rPr>
          <w:sz w:val="28"/>
          <w:szCs w:val="28"/>
        </w:rPr>
        <w:t>униципальны</w:t>
      </w:r>
      <w:r w:rsidR="00AC0CEC">
        <w:rPr>
          <w:sz w:val="28"/>
          <w:szCs w:val="28"/>
        </w:rPr>
        <w:t>е</w:t>
      </w:r>
      <w:r w:rsidR="00D83891">
        <w:rPr>
          <w:sz w:val="28"/>
          <w:szCs w:val="28"/>
        </w:rPr>
        <w:t xml:space="preserve"> программ</w:t>
      </w:r>
      <w:r w:rsidR="00AC0CEC">
        <w:rPr>
          <w:sz w:val="28"/>
          <w:szCs w:val="28"/>
        </w:rPr>
        <w:t>ы города</w:t>
      </w:r>
      <w:r w:rsidR="00D83891">
        <w:rPr>
          <w:sz w:val="28"/>
          <w:szCs w:val="28"/>
        </w:rPr>
        <w:t xml:space="preserve"> на период 2017 – 2024</w:t>
      </w:r>
      <w:r w:rsidR="00285C80" w:rsidRPr="0004585A">
        <w:rPr>
          <w:sz w:val="28"/>
          <w:szCs w:val="28"/>
        </w:rPr>
        <w:t xml:space="preserve"> </w:t>
      </w:r>
      <w:r w:rsidR="007D0340" w:rsidRPr="0004585A">
        <w:rPr>
          <w:sz w:val="28"/>
          <w:szCs w:val="28"/>
        </w:rPr>
        <w:t>годов</w:t>
      </w:r>
      <w:r w:rsidR="00994FA6" w:rsidRPr="0004585A">
        <w:rPr>
          <w:sz w:val="28"/>
          <w:szCs w:val="28"/>
        </w:rPr>
        <w:t>.</w:t>
      </w:r>
    </w:p>
    <w:p w:rsidR="0008632D" w:rsidRPr="007934A2" w:rsidRDefault="0008632D" w:rsidP="00994FA6">
      <w:pPr>
        <w:jc w:val="center"/>
        <w:rPr>
          <w:b/>
          <w:sz w:val="28"/>
          <w:szCs w:val="28"/>
        </w:rPr>
      </w:pPr>
    </w:p>
    <w:p w:rsidR="00994FA6" w:rsidRPr="007934A2" w:rsidRDefault="00994FA6" w:rsidP="00994FA6">
      <w:pPr>
        <w:jc w:val="center"/>
        <w:rPr>
          <w:b/>
          <w:sz w:val="28"/>
          <w:szCs w:val="28"/>
        </w:rPr>
      </w:pPr>
      <w:r w:rsidRPr="007934A2">
        <w:rPr>
          <w:b/>
          <w:sz w:val="28"/>
          <w:szCs w:val="28"/>
        </w:rPr>
        <w:t>2</w:t>
      </w:r>
      <w:r w:rsidR="007934A2">
        <w:rPr>
          <w:b/>
          <w:sz w:val="28"/>
          <w:szCs w:val="28"/>
        </w:rPr>
        <w:t xml:space="preserve">. </w:t>
      </w:r>
      <w:r w:rsidR="007934A2" w:rsidRPr="007934A2">
        <w:rPr>
          <w:b/>
          <w:sz w:val="28"/>
          <w:szCs w:val="28"/>
        </w:rPr>
        <w:t>Новаци</w:t>
      </w:r>
      <w:r w:rsidR="004752EC">
        <w:rPr>
          <w:b/>
          <w:sz w:val="28"/>
          <w:szCs w:val="28"/>
        </w:rPr>
        <w:t>и</w:t>
      </w:r>
      <w:r w:rsidR="007934A2" w:rsidRPr="007934A2">
        <w:rPr>
          <w:b/>
          <w:sz w:val="28"/>
          <w:szCs w:val="28"/>
        </w:rPr>
        <w:t xml:space="preserve"> законодательства и параметры прогноза макроэкономических показателей для формирования проекта бюджета</w:t>
      </w:r>
      <w:r w:rsidR="00AC0CEC">
        <w:rPr>
          <w:b/>
          <w:sz w:val="28"/>
          <w:szCs w:val="28"/>
        </w:rPr>
        <w:t xml:space="preserve"> города</w:t>
      </w:r>
    </w:p>
    <w:p w:rsidR="0008632D" w:rsidRPr="001B2615" w:rsidRDefault="0008632D" w:rsidP="005278B8">
      <w:pPr>
        <w:rPr>
          <w:b/>
          <w:color w:val="FF0000"/>
          <w:sz w:val="28"/>
          <w:szCs w:val="28"/>
        </w:rPr>
      </w:pPr>
    </w:p>
    <w:p w:rsidR="004F1F01" w:rsidRDefault="004F1F01" w:rsidP="00BA1972">
      <w:pPr>
        <w:ind w:firstLine="709"/>
        <w:jc w:val="right"/>
        <w:rPr>
          <w:sz w:val="28"/>
          <w:szCs w:val="28"/>
        </w:rPr>
      </w:pPr>
    </w:p>
    <w:p w:rsidR="004F1F01" w:rsidRDefault="004F1F01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началась практическая реализация национальных проектов, которые определили основн</w:t>
      </w:r>
      <w:r w:rsidR="00A2095E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A2095E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социально-экономического развития страны на ближайшую пятилетку.</w:t>
      </w:r>
    </w:p>
    <w:p w:rsidR="004F1F01" w:rsidRDefault="004F1F01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обозначенных задач формируются</w:t>
      </w:r>
      <w:r w:rsidR="00A2095E">
        <w:rPr>
          <w:sz w:val="28"/>
          <w:szCs w:val="28"/>
        </w:rPr>
        <w:t xml:space="preserve"> проекты</w:t>
      </w:r>
      <w:r>
        <w:rPr>
          <w:sz w:val="28"/>
          <w:szCs w:val="28"/>
        </w:rPr>
        <w:t xml:space="preserve"> бюджетов всех уровней на очередной бюджетный период.</w:t>
      </w:r>
    </w:p>
    <w:p w:rsidR="004F1F01" w:rsidRDefault="004F1F01" w:rsidP="004F1F0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Новации законодательства по формированию бюджета на </w:t>
      </w:r>
      <w:r w:rsidR="008919E2">
        <w:rPr>
          <w:sz w:val="28"/>
          <w:szCs w:val="28"/>
        </w:rPr>
        <w:t>предстоящий трехлетний</w:t>
      </w:r>
      <w:r>
        <w:rPr>
          <w:sz w:val="28"/>
          <w:szCs w:val="28"/>
        </w:rPr>
        <w:t xml:space="preserve"> период отражены в Основных направлени</w:t>
      </w:r>
      <w:r w:rsidR="00CB7491">
        <w:rPr>
          <w:sz w:val="28"/>
          <w:szCs w:val="28"/>
        </w:rPr>
        <w:t>ях</w:t>
      </w:r>
      <w:r>
        <w:rPr>
          <w:sz w:val="28"/>
          <w:szCs w:val="28"/>
        </w:rPr>
        <w:t xml:space="preserve"> бюджетной, налоговой и таможенно-тарифной политики на 2020 год и на плановый период 2021-2022 годов, изменени</w:t>
      </w:r>
      <w:r w:rsidR="00CB7491">
        <w:rPr>
          <w:sz w:val="28"/>
          <w:szCs w:val="28"/>
        </w:rPr>
        <w:t>ях, внесенных</w:t>
      </w:r>
      <w:r>
        <w:rPr>
          <w:sz w:val="28"/>
          <w:szCs w:val="28"/>
        </w:rPr>
        <w:t xml:space="preserve"> в Бюджетный Кодекс Российской Федерации и иные законодательные акты Российской Федерации.</w:t>
      </w:r>
      <w:proofErr w:type="gramEnd"/>
    </w:p>
    <w:p w:rsidR="009D138C" w:rsidRDefault="009D138C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бюджетной политики города</w:t>
      </w:r>
      <w:r w:rsidR="00F37CE7">
        <w:rPr>
          <w:sz w:val="28"/>
          <w:szCs w:val="28"/>
        </w:rPr>
        <w:t xml:space="preserve"> Липецка</w:t>
      </w:r>
      <w:r>
        <w:rPr>
          <w:sz w:val="28"/>
          <w:szCs w:val="28"/>
        </w:rPr>
        <w:t xml:space="preserve"> на 2020 год и на период 2021 и 2022 годов </w:t>
      </w:r>
      <w:r w:rsidR="00F37CE7">
        <w:rPr>
          <w:sz w:val="28"/>
          <w:szCs w:val="28"/>
        </w:rPr>
        <w:t>определены</w:t>
      </w:r>
      <w:r>
        <w:rPr>
          <w:sz w:val="28"/>
          <w:szCs w:val="28"/>
        </w:rPr>
        <w:t>:</w:t>
      </w:r>
    </w:p>
    <w:p w:rsidR="009D138C" w:rsidRDefault="009D138C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0917">
        <w:rPr>
          <w:sz w:val="28"/>
          <w:szCs w:val="28"/>
        </w:rPr>
        <w:t xml:space="preserve">участие в пределах возложенных полномочий в реализации принятых </w:t>
      </w:r>
      <w:r w:rsidR="00A968D4">
        <w:rPr>
          <w:sz w:val="28"/>
          <w:szCs w:val="28"/>
        </w:rPr>
        <w:t>национальных и региональных проектов;</w:t>
      </w:r>
    </w:p>
    <w:p w:rsidR="00A968D4" w:rsidRDefault="00A968D4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бюджетных параметров исходя из обеспечения сбалансированного распределения имеющихся бюджетных ресурсов между действующими расходными полномочиями и расходами на развитие;</w:t>
      </w:r>
    </w:p>
    <w:p w:rsidR="00A968D4" w:rsidRDefault="00A968D4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бюджетных правил и процедур, обеспечивающих прозрачность, подотчетность, эффективность и результативность бюджетных расходов</w:t>
      </w:r>
      <w:r w:rsidR="00D71E1F">
        <w:rPr>
          <w:sz w:val="28"/>
          <w:szCs w:val="28"/>
        </w:rPr>
        <w:t>;</w:t>
      </w:r>
    </w:p>
    <w:p w:rsidR="00D71E1F" w:rsidRDefault="00D71E1F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надежности экономических прогнозов, положенных в основу бюджетного планирования;</w:t>
      </w:r>
    </w:p>
    <w:p w:rsidR="00D71E1F" w:rsidRDefault="00D71E1F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</w:t>
      </w:r>
      <w:r w:rsidR="00245D42">
        <w:rPr>
          <w:sz w:val="28"/>
          <w:szCs w:val="28"/>
        </w:rPr>
        <w:t>ие взвешенной долговой политики;</w:t>
      </w:r>
    </w:p>
    <w:p w:rsidR="00245D42" w:rsidRDefault="00245D42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ответственности и заинтересованности исполнителей муниципальных программ за достижение наилучших результатов;</w:t>
      </w:r>
    </w:p>
    <w:p w:rsidR="00245D42" w:rsidRDefault="00245D42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широкого вовлечения граждан в процедуры обсуждения и принятия конкретных бюджетных решений.</w:t>
      </w:r>
    </w:p>
    <w:p w:rsidR="00BB05A3" w:rsidRDefault="001E6715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для составления проекта бюджета является оценка изменений социально-экономической ситуации </w:t>
      </w:r>
      <w:r w:rsidR="0023101F">
        <w:rPr>
          <w:sz w:val="28"/>
          <w:szCs w:val="28"/>
        </w:rPr>
        <w:t xml:space="preserve">в городе, отраженная в </w:t>
      </w:r>
      <w:r w:rsidR="008919E2">
        <w:rPr>
          <w:sz w:val="28"/>
          <w:szCs w:val="28"/>
        </w:rPr>
        <w:t>П</w:t>
      </w:r>
      <w:r w:rsidR="0023101F">
        <w:rPr>
          <w:sz w:val="28"/>
          <w:szCs w:val="28"/>
        </w:rPr>
        <w:t>рогнозе социально-экономического развития города Липецка на 2020 год и плановый период 2021 и 2022 годов.</w:t>
      </w:r>
    </w:p>
    <w:p w:rsidR="00D74402" w:rsidRDefault="00BB05A3" w:rsidP="004F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Представленный к проекту среднесрочный прогноз социально-экономического развития базируется на сценарных прогнозах функционирования</w:t>
      </w:r>
      <w:r w:rsidR="00D74402">
        <w:rPr>
          <w:sz w:val="28"/>
          <w:szCs w:val="28"/>
        </w:rPr>
        <w:t xml:space="preserve"> экономики Российской Федерации, результатах мониторинга деятельности </w:t>
      </w:r>
      <w:r w:rsidR="007A7CA8">
        <w:rPr>
          <w:sz w:val="28"/>
          <w:szCs w:val="28"/>
        </w:rPr>
        <w:t>крупных и средних организаций города, данных представленных структурными подразделениями администрации города.</w:t>
      </w:r>
    </w:p>
    <w:p w:rsidR="004F1F01" w:rsidRDefault="007A7CA8" w:rsidP="007A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Прогнозом определена следующая динамика показателей социально-экономического развития города.</w:t>
      </w:r>
    </w:p>
    <w:p w:rsidR="00BA1972" w:rsidRPr="0088338B" w:rsidRDefault="00BA1972" w:rsidP="00BA1972">
      <w:pPr>
        <w:ind w:firstLine="709"/>
        <w:jc w:val="right"/>
        <w:rPr>
          <w:sz w:val="22"/>
          <w:szCs w:val="22"/>
        </w:rPr>
      </w:pPr>
      <w:proofErr w:type="gramStart"/>
      <w:r w:rsidRPr="0088338B">
        <w:rPr>
          <w:sz w:val="22"/>
          <w:szCs w:val="22"/>
        </w:rPr>
        <w:t>в</w:t>
      </w:r>
      <w:proofErr w:type="gramEnd"/>
      <w:r w:rsidRPr="0088338B">
        <w:rPr>
          <w:sz w:val="22"/>
          <w:szCs w:val="22"/>
        </w:rPr>
        <w:t xml:space="preserve"> % </w:t>
      </w:r>
      <w:proofErr w:type="gramStart"/>
      <w:r w:rsidRPr="0088338B">
        <w:rPr>
          <w:sz w:val="22"/>
          <w:szCs w:val="22"/>
        </w:rPr>
        <w:t>к</w:t>
      </w:r>
      <w:proofErr w:type="gramEnd"/>
      <w:r w:rsidRPr="0088338B">
        <w:rPr>
          <w:sz w:val="22"/>
          <w:szCs w:val="22"/>
        </w:rPr>
        <w:t xml:space="preserve"> </w:t>
      </w:r>
      <w:r w:rsidR="00080C64" w:rsidRPr="0088338B">
        <w:rPr>
          <w:sz w:val="22"/>
          <w:szCs w:val="22"/>
        </w:rPr>
        <w:t>предыдущему</w:t>
      </w:r>
      <w:r w:rsidRPr="0088338B">
        <w:rPr>
          <w:sz w:val="22"/>
          <w:szCs w:val="22"/>
        </w:rPr>
        <w:t xml:space="preserve">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4219"/>
        <w:gridCol w:w="992"/>
        <w:gridCol w:w="1417"/>
        <w:gridCol w:w="1134"/>
        <w:gridCol w:w="1134"/>
        <w:gridCol w:w="993"/>
      </w:tblGrid>
      <w:tr w:rsidR="007A7CA8" w:rsidRPr="0088338B" w:rsidTr="007A7CA8">
        <w:trPr>
          <w:trHeight w:val="683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88338B" w:rsidRDefault="007A7CA8" w:rsidP="00F455B4">
            <w:pPr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Pr="0088338B" w:rsidRDefault="007A7CA8" w:rsidP="00ED4D6C">
            <w:pPr>
              <w:ind w:left="-115" w:right="-144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88338B">
              <w:rPr>
                <w:sz w:val="22"/>
                <w:szCs w:val="22"/>
              </w:rPr>
              <w:t xml:space="preserve"> г.</w:t>
            </w:r>
          </w:p>
          <w:p w:rsidR="007A7CA8" w:rsidRPr="0088338B" w:rsidRDefault="007A7CA8" w:rsidP="00ED4D6C">
            <w:pPr>
              <w:ind w:left="-115" w:right="-144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Pr="0088338B" w:rsidRDefault="007A7CA8" w:rsidP="00ED4D6C">
            <w:pPr>
              <w:ind w:left="-90" w:right="-108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88338B">
              <w:rPr>
                <w:sz w:val="22"/>
                <w:szCs w:val="22"/>
              </w:rPr>
              <w:t xml:space="preserve"> г.</w:t>
            </w:r>
          </w:p>
          <w:p w:rsidR="007A7CA8" w:rsidRPr="0088338B" w:rsidRDefault="007A7CA8" w:rsidP="00ED4D6C">
            <w:pPr>
              <w:ind w:left="-90" w:right="-108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88338B" w:rsidRDefault="007A7CA8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88338B">
              <w:rPr>
                <w:sz w:val="22"/>
                <w:szCs w:val="22"/>
              </w:rPr>
              <w:t>г.</w:t>
            </w:r>
          </w:p>
          <w:p w:rsidR="007A7CA8" w:rsidRPr="0088338B" w:rsidRDefault="007A7CA8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338B">
              <w:rPr>
                <w:sz w:val="22"/>
                <w:szCs w:val="22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Default="007A7CA8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  <w:p w:rsidR="007A7CA8" w:rsidRPr="0088338B" w:rsidRDefault="007A7CA8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A8" w:rsidRPr="00ED4D6C" w:rsidRDefault="007A7CA8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ED4D6C">
              <w:rPr>
                <w:sz w:val="22"/>
                <w:szCs w:val="22"/>
              </w:rPr>
              <w:t xml:space="preserve"> г.</w:t>
            </w:r>
          </w:p>
          <w:p w:rsidR="007A7CA8" w:rsidRPr="0088338B" w:rsidRDefault="007A7CA8" w:rsidP="00ED4D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прогноз</w:t>
            </w:r>
          </w:p>
        </w:tc>
      </w:tr>
      <w:tr w:rsidR="007A7CA8" w:rsidRPr="0088338B" w:rsidTr="007A7CA8">
        <w:trPr>
          <w:trHeight w:val="7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ED4D6C" w:rsidRDefault="007A7CA8" w:rsidP="00ED4D6C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ED4D6C">
              <w:rPr>
                <w:sz w:val="22"/>
                <w:szCs w:val="22"/>
              </w:rPr>
              <w:t xml:space="preserve">Объем отгруженных товаров собственного промышленного производства, выполненных работ и </w:t>
            </w:r>
            <w:r>
              <w:rPr>
                <w:sz w:val="22"/>
                <w:szCs w:val="22"/>
              </w:rPr>
              <w:t xml:space="preserve">оказанных </w:t>
            </w:r>
            <w:r w:rsidRPr="00ED4D6C">
              <w:rPr>
                <w:sz w:val="22"/>
                <w:szCs w:val="22"/>
              </w:rPr>
              <w:t xml:space="preserve">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Pr="0088338B" w:rsidRDefault="007A7CA8" w:rsidP="00ED4D6C">
            <w:pPr>
              <w:ind w:left="-115"/>
              <w:jc w:val="center"/>
              <w:rPr>
                <w:sz w:val="22"/>
                <w:szCs w:val="22"/>
              </w:rPr>
            </w:pPr>
          </w:p>
          <w:p w:rsidR="007A7CA8" w:rsidRPr="0088338B" w:rsidRDefault="007A7CA8" w:rsidP="00ED4D6C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7A7CA8" w:rsidRPr="0088338B" w:rsidRDefault="007A7CA8" w:rsidP="007A7CA8">
            <w:pPr>
              <w:ind w:left="-115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Pr="0088338B" w:rsidRDefault="007A7CA8" w:rsidP="00ED4D6C">
            <w:pPr>
              <w:ind w:left="-72" w:right="-108"/>
              <w:jc w:val="center"/>
              <w:rPr>
                <w:sz w:val="22"/>
                <w:szCs w:val="22"/>
              </w:rPr>
            </w:pPr>
          </w:p>
          <w:p w:rsidR="007A7CA8" w:rsidRPr="0088338B" w:rsidRDefault="007A7CA8" w:rsidP="00ED4D6C">
            <w:pPr>
              <w:ind w:left="-7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104,9</w:t>
            </w:r>
          </w:p>
          <w:p w:rsidR="007A7CA8" w:rsidRPr="0088338B" w:rsidRDefault="007A7CA8" w:rsidP="007A7CA8">
            <w:pPr>
              <w:ind w:left="-72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  <w:p w:rsidR="007A7CA8" w:rsidRPr="00ED4D6C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  <w:p w:rsidR="007A7CA8" w:rsidRPr="0088338B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  <w:p w:rsidR="007A7CA8" w:rsidRPr="0088338B" w:rsidRDefault="007A7CA8" w:rsidP="00ED4D6C">
            <w:pPr>
              <w:ind w:left="-108" w:right="-120"/>
              <w:jc w:val="center"/>
              <w:rPr>
                <w:sz w:val="22"/>
                <w:szCs w:val="22"/>
              </w:rPr>
            </w:pPr>
          </w:p>
        </w:tc>
      </w:tr>
      <w:tr w:rsidR="007A7CA8" w:rsidRPr="0088338B" w:rsidTr="007A7CA8">
        <w:trPr>
          <w:trHeight w:val="2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ED4D6C" w:rsidRDefault="007A7CA8" w:rsidP="00ED4D6C">
            <w:pPr>
              <w:ind w:right="-101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ED4D6C">
              <w:rPr>
                <w:sz w:val="22"/>
                <w:szCs w:val="22"/>
              </w:rPr>
              <w:t xml:space="preserve">Инвестиции в основной капитал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A8" w:rsidRPr="00ED4D6C" w:rsidRDefault="007A7CA8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</w:tr>
      <w:tr w:rsidR="007A7CA8" w:rsidRPr="0088338B" w:rsidTr="007A7C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ED4D6C" w:rsidRDefault="007A7CA8" w:rsidP="00ED4D6C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ED4D6C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left="-7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A8" w:rsidRPr="0088338B" w:rsidRDefault="007A7CA8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88338B" w:rsidRDefault="007A7CA8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88338B" w:rsidRDefault="007A7CA8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</w:t>
            </w:r>
          </w:p>
        </w:tc>
      </w:tr>
      <w:tr w:rsidR="007A7CA8" w:rsidRPr="0088338B" w:rsidTr="007A7C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ED4D6C" w:rsidRDefault="007A7CA8" w:rsidP="00ED4D6C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ED4D6C">
              <w:rPr>
                <w:sz w:val="22"/>
                <w:szCs w:val="22"/>
              </w:rPr>
              <w:t>Фонд начисленной заработной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left="-7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A8" w:rsidRPr="00ED4D6C" w:rsidRDefault="007A7CA8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ED4D6C" w:rsidRDefault="007A7CA8" w:rsidP="0008632D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</w:tr>
      <w:tr w:rsidR="007A7CA8" w:rsidRPr="0088338B" w:rsidTr="007A7C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ED4D6C" w:rsidRDefault="007A7CA8" w:rsidP="00ED4D6C">
            <w:pPr>
              <w:ind w:right="-101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ED4D6C">
              <w:rPr>
                <w:sz w:val="22"/>
                <w:szCs w:val="22"/>
              </w:rPr>
              <w:t>Сальдированный финансовый результат (прибыль-убыток) по крупным и средним предприятиям млн. руб.,</w:t>
            </w:r>
          </w:p>
          <w:p w:rsidR="007A7CA8" w:rsidRPr="00ED4D6C" w:rsidRDefault="007A7CA8" w:rsidP="00ED4D6C">
            <w:pPr>
              <w:ind w:right="-101"/>
              <w:rPr>
                <w:sz w:val="22"/>
                <w:szCs w:val="22"/>
              </w:rPr>
            </w:pPr>
            <w:proofErr w:type="gramStart"/>
            <w:r w:rsidRPr="00ED4D6C">
              <w:rPr>
                <w:i/>
                <w:sz w:val="22"/>
                <w:szCs w:val="22"/>
              </w:rPr>
              <w:t>в</w:t>
            </w:r>
            <w:proofErr w:type="gramEnd"/>
            <w:r w:rsidRPr="00ED4D6C">
              <w:rPr>
                <w:i/>
                <w:sz w:val="22"/>
                <w:szCs w:val="22"/>
              </w:rPr>
              <w:t xml:space="preserve"> % </w:t>
            </w:r>
            <w:proofErr w:type="gramStart"/>
            <w:r w:rsidRPr="00ED4D6C">
              <w:rPr>
                <w:i/>
                <w:sz w:val="22"/>
                <w:szCs w:val="22"/>
              </w:rPr>
              <w:t>к</w:t>
            </w:r>
            <w:proofErr w:type="gramEnd"/>
            <w:r w:rsidRPr="00ED4D6C">
              <w:rPr>
                <w:i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7A7CA8" w:rsidRDefault="007A7CA8" w:rsidP="00466F74">
            <w:pPr>
              <w:ind w:left="-115"/>
              <w:jc w:val="center"/>
              <w:rPr>
                <w:sz w:val="22"/>
                <w:szCs w:val="22"/>
              </w:rPr>
            </w:pPr>
          </w:p>
          <w:p w:rsidR="007A7CA8" w:rsidRPr="0088338B" w:rsidRDefault="007A7CA8" w:rsidP="00466F74">
            <w:pPr>
              <w:ind w:left="-115"/>
              <w:jc w:val="center"/>
              <w:rPr>
                <w:i/>
                <w:sz w:val="22"/>
                <w:szCs w:val="22"/>
              </w:rPr>
            </w:pPr>
            <w:r w:rsidRPr="007A7CA8">
              <w:rPr>
                <w:sz w:val="22"/>
                <w:szCs w:val="22"/>
              </w:rPr>
              <w:t>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Pr="0088338B" w:rsidRDefault="007A7CA8" w:rsidP="00466F74">
            <w:pPr>
              <w:ind w:left="-7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7A7CA8" w:rsidRPr="007A7CA8" w:rsidRDefault="007A7CA8" w:rsidP="00466F74">
            <w:pPr>
              <w:ind w:left="-72" w:right="-108"/>
              <w:jc w:val="center"/>
              <w:rPr>
                <w:sz w:val="22"/>
                <w:szCs w:val="22"/>
              </w:rPr>
            </w:pPr>
            <w:r w:rsidRPr="007A7CA8">
              <w:rPr>
                <w:sz w:val="22"/>
                <w:szCs w:val="22"/>
              </w:rPr>
              <w:t>104,5</w:t>
            </w:r>
          </w:p>
          <w:p w:rsidR="007A7CA8" w:rsidRPr="0088338B" w:rsidRDefault="007A7CA8" w:rsidP="00466F74">
            <w:pPr>
              <w:ind w:left="-72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A8" w:rsidRDefault="007A7CA8" w:rsidP="00466F74">
            <w:pPr>
              <w:ind w:left="-108" w:right="-120"/>
              <w:jc w:val="center"/>
              <w:rPr>
                <w:i/>
                <w:sz w:val="22"/>
                <w:szCs w:val="22"/>
              </w:rPr>
            </w:pPr>
          </w:p>
          <w:p w:rsidR="007A7CA8" w:rsidRPr="007A7CA8" w:rsidRDefault="007A7CA8" w:rsidP="00466F74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7A7CA8">
              <w:rPr>
                <w:sz w:val="22"/>
                <w:szCs w:val="22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Default="007A7CA8" w:rsidP="00466F74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Pr="007A7CA8" w:rsidRDefault="007A7CA8" w:rsidP="00466F74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7A7CA8">
              <w:rPr>
                <w:sz w:val="22"/>
                <w:szCs w:val="22"/>
              </w:rPr>
              <w:t>105,9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Default="007A7CA8" w:rsidP="00466F74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Pr="007A7CA8" w:rsidRDefault="007A7CA8" w:rsidP="00466F74">
            <w:pPr>
              <w:ind w:left="-108" w:right="-120"/>
              <w:jc w:val="center"/>
              <w:rPr>
                <w:sz w:val="22"/>
                <w:szCs w:val="22"/>
              </w:rPr>
            </w:pPr>
            <w:r w:rsidRPr="007A7CA8">
              <w:rPr>
                <w:sz w:val="22"/>
                <w:szCs w:val="22"/>
              </w:rPr>
              <w:t>105,9</w:t>
            </w:r>
          </w:p>
        </w:tc>
      </w:tr>
      <w:tr w:rsidR="007A7CA8" w:rsidRPr="0088338B" w:rsidTr="007A7CA8">
        <w:trPr>
          <w:trHeight w:val="4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ED4D6C" w:rsidRDefault="007A7CA8" w:rsidP="00ED4D6C">
            <w:pPr>
              <w:ind w:right="-10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6.</w:t>
            </w:r>
            <w:r w:rsidRPr="00ED4D6C">
              <w:rPr>
                <w:sz w:val="22"/>
                <w:szCs w:val="22"/>
              </w:rPr>
              <w:t xml:space="preserve">Индекс потребительских цен (к декабрю </w:t>
            </w:r>
            <w:proofErr w:type="gramEnd"/>
          </w:p>
          <w:p w:rsidR="007A7CA8" w:rsidRPr="00ED4D6C" w:rsidRDefault="007A7CA8" w:rsidP="00ED4D6C">
            <w:pPr>
              <w:ind w:right="-101"/>
              <w:rPr>
                <w:sz w:val="22"/>
                <w:szCs w:val="22"/>
              </w:rPr>
            </w:pPr>
            <w:r w:rsidRPr="00ED4D6C">
              <w:rPr>
                <w:sz w:val="22"/>
                <w:szCs w:val="22"/>
              </w:rPr>
              <w:t>предыдущего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Pr="0088338B" w:rsidRDefault="007A7CA8" w:rsidP="007A7CA8">
            <w:pPr>
              <w:ind w:lef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A8" w:rsidRPr="0088338B" w:rsidRDefault="007A7CA8" w:rsidP="007A7CA8">
            <w:pPr>
              <w:ind w:left="-7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A8" w:rsidRPr="0088338B" w:rsidRDefault="007A7CA8" w:rsidP="007A7CA8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Default="007A7CA8" w:rsidP="008E3EA7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Default="007A7CA8" w:rsidP="008E3EA7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  <w:p w:rsidR="007A7CA8" w:rsidRPr="0088338B" w:rsidRDefault="007A7CA8" w:rsidP="007A7CA8">
            <w:pPr>
              <w:ind w:left="-108" w:right="-12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8" w:rsidRDefault="007A7CA8" w:rsidP="008E3EA7">
            <w:pPr>
              <w:ind w:left="-108" w:right="-120"/>
              <w:jc w:val="center"/>
              <w:rPr>
                <w:sz w:val="22"/>
                <w:szCs w:val="22"/>
              </w:rPr>
            </w:pPr>
          </w:p>
          <w:p w:rsidR="007A7CA8" w:rsidRPr="0088338B" w:rsidRDefault="007A7CA8" w:rsidP="008E3EA7">
            <w:pPr>
              <w:ind w:left="-108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</w:tbl>
    <w:p w:rsidR="00635A8C" w:rsidRDefault="00DC041C" w:rsidP="00C710EE">
      <w:pPr>
        <w:ind w:firstLine="709"/>
        <w:jc w:val="both"/>
        <w:rPr>
          <w:sz w:val="28"/>
          <w:szCs w:val="28"/>
        </w:rPr>
      </w:pPr>
      <w:r w:rsidRPr="00635A8C">
        <w:rPr>
          <w:i/>
          <w:sz w:val="28"/>
          <w:szCs w:val="28"/>
        </w:rPr>
        <w:t>В обозначенных прогнозах</w:t>
      </w:r>
      <w:r w:rsidR="00C725F7" w:rsidRPr="00635A8C">
        <w:rPr>
          <w:i/>
          <w:sz w:val="28"/>
          <w:szCs w:val="28"/>
        </w:rPr>
        <w:t xml:space="preserve"> наблюдается замедление темпов роста основных макроэкономических показателей социально-экономического развития города, сложивш</w:t>
      </w:r>
      <w:r w:rsidRPr="00635A8C">
        <w:rPr>
          <w:i/>
          <w:sz w:val="28"/>
          <w:szCs w:val="28"/>
        </w:rPr>
        <w:t>е</w:t>
      </w:r>
      <w:r w:rsidR="00C725F7" w:rsidRPr="00635A8C">
        <w:rPr>
          <w:i/>
          <w:sz w:val="28"/>
          <w:szCs w:val="28"/>
        </w:rPr>
        <w:t>еся</w:t>
      </w:r>
      <w:r w:rsidRPr="00635A8C">
        <w:rPr>
          <w:i/>
          <w:sz w:val="28"/>
          <w:szCs w:val="28"/>
        </w:rPr>
        <w:t xml:space="preserve"> уже</w:t>
      </w:r>
      <w:r w:rsidR="00C725F7" w:rsidRPr="00635A8C">
        <w:rPr>
          <w:i/>
          <w:sz w:val="28"/>
          <w:szCs w:val="28"/>
        </w:rPr>
        <w:t xml:space="preserve"> в текущем году и прогнозируемое в тех же параметр</w:t>
      </w:r>
      <w:r w:rsidRPr="00635A8C">
        <w:rPr>
          <w:i/>
          <w:sz w:val="28"/>
          <w:szCs w:val="28"/>
        </w:rPr>
        <w:t>ах на ближайшую трехлетку</w:t>
      </w:r>
      <w:r>
        <w:rPr>
          <w:sz w:val="28"/>
          <w:szCs w:val="28"/>
        </w:rPr>
        <w:t xml:space="preserve">. </w:t>
      </w:r>
    </w:p>
    <w:p w:rsidR="0008632D" w:rsidRDefault="00DC041C" w:rsidP="00C71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C725F7">
        <w:rPr>
          <w:sz w:val="28"/>
          <w:szCs w:val="28"/>
        </w:rPr>
        <w:t>темп роста объема отгруженных товаров собственного промышленного производства</w:t>
      </w:r>
      <w:r>
        <w:rPr>
          <w:sz w:val="28"/>
          <w:szCs w:val="28"/>
        </w:rPr>
        <w:t xml:space="preserve">, </w:t>
      </w:r>
      <w:r w:rsidR="00635A8C">
        <w:rPr>
          <w:sz w:val="28"/>
          <w:szCs w:val="28"/>
        </w:rPr>
        <w:t>составлявший</w:t>
      </w:r>
      <w:r>
        <w:rPr>
          <w:sz w:val="28"/>
          <w:szCs w:val="28"/>
        </w:rPr>
        <w:t xml:space="preserve"> в 2018 году 120</w:t>
      </w:r>
      <w:r w:rsidR="005872B7">
        <w:rPr>
          <w:sz w:val="28"/>
          <w:szCs w:val="28"/>
        </w:rPr>
        <w:t xml:space="preserve"> процентов</w:t>
      </w:r>
      <w:r w:rsidR="00635A8C">
        <w:rPr>
          <w:sz w:val="28"/>
          <w:szCs w:val="28"/>
        </w:rPr>
        <w:t xml:space="preserve"> к уровню прошлого года</w:t>
      </w:r>
      <w:r w:rsidR="005872B7">
        <w:rPr>
          <w:sz w:val="28"/>
          <w:szCs w:val="28"/>
        </w:rPr>
        <w:t>,</w:t>
      </w:r>
      <w:r w:rsidR="00C725F7">
        <w:rPr>
          <w:sz w:val="28"/>
          <w:szCs w:val="28"/>
        </w:rPr>
        <w:t xml:space="preserve"> по оценке </w:t>
      </w:r>
      <w:r w:rsidR="00635A8C">
        <w:rPr>
          <w:sz w:val="28"/>
          <w:szCs w:val="28"/>
        </w:rPr>
        <w:t>текущего</w:t>
      </w:r>
      <w:r w:rsidR="0018684A">
        <w:rPr>
          <w:sz w:val="28"/>
          <w:szCs w:val="28"/>
        </w:rPr>
        <w:t xml:space="preserve"> года упадет до 105</w:t>
      </w:r>
      <w:r w:rsidR="005872B7">
        <w:rPr>
          <w:sz w:val="28"/>
          <w:szCs w:val="28"/>
        </w:rPr>
        <w:t xml:space="preserve"> </w:t>
      </w:r>
      <w:r w:rsidR="0018684A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и сохранится</w:t>
      </w:r>
      <w:r w:rsidR="00C725F7">
        <w:rPr>
          <w:sz w:val="28"/>
          <w:szCs w:val="28"/>
        </w:rPr>
        <w:t xml:space="preserve"> в таких же размерах на 2020-2022 годы.</w:t>
      </w:r>
    </w:p>
    <w:p w:rsidR="007F4621" w:rsidRDefault="00C725F7" w:rsidP="00891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 роста инвестиций в основной капитал упадет со 118 до 102,5</w:t>
      </w:r>
      <w:r w:rsidR="00635A8C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, оборот розничной торговли со 110 до 106 процентов. При этом</w:t>
      </w:r>
      <w:proofErr w:type="gramStart"/>
      <w:r w:rsidR="008919E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635A8C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фонда оплаты труда</w:t>
      </w:r>
      <w:r w:rsidR="00635A8C">
        <w:rPr>
          <w:sz w:val="28"/>
          <w:szCs w:val="28"/>
        </w:rPr>
        <w:t xml:space="preserve"> планируется сохранить</w:t>
      </w:r>
      <w:r>
        <w:rPr>
          <w:sz w:val="28"/>
          <w:szCs w:val="28"/>
        </w:rPr>
        <w:t xml:space="preserve"> на уровне 10</w:t>
      </w:r>
      <w:r w:rsidR="00635A8C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ежегодно и </w:t>
      </w:r>
      <w:r w:rsidR="00635A8C">
        <w:rPr>
          <w:sz w:val="28"/>
          <w:szCs w:val="28"/>
        </w:rPr>
        <w:t>рост</w:t>
      </w:r>
      <w:r>
        <w:rPr>
          <w:sz w:val="28"/>
          <w:szCs w:val="28"/>
        </w:rPr>
        <w:t xml:space="preserve"> потребительских цен ежегодно </w:t>
      </w:r>
      <w:r w:rsidR="00635A8C">
        <w:rPr>
          <w:sz w:val="28"/>
          <w:szCs w:val="28"/>
        </w:rPr>
        <w:t xml:space="preserve">порядка </w:t>
      </w:r>
      <w:r w:rsidR="005872B7">
        <w:rPr>
          <w:sz w:val="28"/>
          <w:szCs w:val="28"/>
        </w:rPr>
        <w:t>4</w:t>
      </w:r>
      <w:r>
        <w:rPr>
          <w:sz w:val="28"/>
          <w:szCs w:val="28"/>
        </w:rPr>
        <w:t xml:space="preserve"> процент</w:t>
      </w:r>
      <w:r w:rsidR="00635A8C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  <w:r w:rsidRPr="00635A8C">
        <w:rPr>
          <w:i/>
          <w:sz w:val="28"/>
          <w:szCs w:val="28"/>
        </w:rPr>
        <w:t xml:space="preserve">Прогнозируемое соотношение основных макроэкономических </w:t>
      </w:r>
      <w:r w:rsidR="002225CD" w:rsidRPr="00635A8C">
        <w:rPr>
          <w:i/>
          <w:sz w:val="28"/>
          <w:szCs w:val="28"/>
        </w:rPr>
        <w:t>показателей может свидетельствовать о</w:t>
      </w:r>
      <w:r w:rsidR="00635A8C">
        <w:rPr>
          <w:i/>
          <w:sz w:val="28"/>
          <w:szCs w:val="28"/>
        </w:rPr>
        <w:t xml:space="preserve"> начальных</w:t>
      </w:r>
      <w:r w:rsidR="002225CD" w:rsidRPr="00635A8C">
        <w:rPr>
          <w:i/>
          <w:sz w:val="28"/>
          <w:szCs w:val="28"/>
        </w:rPr>
        <w:t xml:space="preserve"> признаках</w:t>
      </w:r>
      <w:r w:rsidR="00D321AD" w:rsidRPr="00635A8C">
        <w:rPr>
          <w:i/>
          <w:sz w:val="28"/>
          <w:szCs w:val="28"/>
        </w:rPr>
        <w:t xml:space="preserve"> </w:t>
      </w:r>
      <w:r w:rsidR="002225CD" w:rsidRPr="00635A8C">
        <w:rPr>
          <w:i/>
          <w:sz w:val="28"/>
          <w:szCs w:val="28"/>
        </w:rPr>
        <w:t>кризисных явлений в экономике города</w:t>
      </w:r>
      <w:r w:rsidR="002225CD">
        <w:rPr>
          <w:sz w:val="28"/>
          <w:szCs w:val="28"/>
        </w:rPr>
        <w:t>.</w:t>
      </w:r>
    </w:p>
    <w:p w:rsidR="008919E2" w:rsidRPr="008919E2" w:rsidRDefault="008919E2" w:rsidP="008919E2">
      <w:pPr>
        <w:ind w:firstLine="709"/>
        <w:jc w:val="both"/>
        <w:rPr>
          <w:sz w:val="28"/>
          <w:szCs w:val="28"/>
        </w:rPr>
      </w:pPr>
    </w:p>
    <w:p w:rsidR="00E72E06" w:rsidRDefault="00E72E06" w:rsidP="008919E2">
      <w:pPr>
        <w:suppressAutoHyphens/>
        <w:rPr>
          <w:b/>
          <w:color w:val="000000" w:themeColor="text1"/>
          <w:sz w:val="28"/>
          <w:szCs w:val="28"/>
        </w:rPr>
      </w:pPr>
    </w:p>
    <w:p w:rsidR="004B5145" w:rsidRDefault="00080C64" w:rsidP="005278B8">
      <w:pPr>
        <w:suppressAutoHyphens/>
        <w:ind w:firstLine="709"/>
        <w:jc w:val="center"/>
        <w:rPr>
          <w:b/>
          <w:color w:val="000000" w:themeColor="text1"/>
          <w:sz w:val="28"/>
          <w:szCs w:val="28"/>
        </w:rPr>
      </w:pPr>
      <w:r w:rsidRPr="00B20063">
        <w:rPr>
          <w:b/>
          <w:color w:val="000000" w:themeColor="text1"/>
          <w:sz w:val="28"/>
          <w:szCs w:val="28"/>
        </w:rPr>
        <w:t>3. Основные характеристики проекта бюджета</w:t>
      </w:r>
    </w:p>
    <w:p w:rsidR="0008632D" w:rsidRDefault="0008632D" w:rsidP="00080C64">
      <w:pPr>
        <w:suppressAutoHyphens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80C64" w:rsidRDefault="00080C64" w:rsidP="00080C64">
      <w:pPr>
        <w:ind w:firstLine="709"/>
        <w:jc w:val="both"/>
        <w:rPr>
          <w:sz w:val="28"/>
          <w:szCs w:val="28"/>
        </w:rPr>
      </w:pPr>
      <w:r w:rsidRPr="00080C64">
        <w:rPr>
          <w:sz w:val="28"/>
          <w:szCs w:val="28"/>
        </w:rPr>
        <w:t>Проект бюджета города внесен на рассмотрение Липецкого городс</w:t>
      </w:r>
      <w:r w:rsidR="00B20063">
        <w:rPr>
          <w:sz w:val="28"/>
          <w:szCs w:val="28"/>
        </w:rPr>
        <w:t xml:space="preserve">кого Совета депутатов </w:t>
      </w:r>
      <w:r w:rsidR="00394039">
        <w:rPr>
          <w:sz w:val="28"/>
          <w:szCs w:val="28"/>
        </w:rPr>
        <w:t>3</w:t>
      </w:r>
      <w:r w:rsidR="0040683D">
        <w:rPr>
          <w:sz w:val="28"/>
          <w:szCs w:val="28"/>
        </w:rPr>
        <w:t>0</w:t>
      </w:r>
      <w:r w:rsidR="00394039">
        <w:rPr>
          <w:sz w:val="28"/>
          <w:szCs w:val="28"/>
        </w:rPr>
        <w:t>.10.201</w:t>
      </w:r>
      <w:r w:rsidR="0040683D">
        <w:rPr>
          <w:sz w:val="28"/>
          <w:szCs w:val="28"/>
        </w:rPr>
        <w:t>9</w:t>
      </w:r>
      <w:r w:rsidRPr="00080C64">
        <w:rPr>
          <w:sz w:val="28"/>
          <w:szCs w:val="28"/>
        </w:rPr>
        <w:t xml:space="preserve"> года</w:t>
      </w:r>
      <w:r w:rsidR="00C57D99">
        <w:rPr>
          <w:sz w:val="28"/>
          <w:szCs w:val="28"/>
        </w:rPr>
        <w:t xml:space="preserve"> в </w:t>
      </w:r>
      <w:r w:rsidR="005B0D59">
        <w:rPr>
          <w:sz w:val="28"/>
          <w:szCs w:val="28"/>
        </w:rPr>
        <w:t>установленный срок</w:t>
      </w:r>
      <w:r w:rsidR="0039186E">
        <w:rPr>
          <w:sz w:val="28"/>
          <w:szCs w:val="28"/>
        </w:rPr>
        <w:t>,</w:t>
      </w:r>
      <w:r w:rsidR="005B0D59">
        <w:rPr>
          <w:sz w:val="28"/>
          <w:szCs w:val="28"/>
        </w:rPr>
        <w:t xml:space="preserve"> в полном объеме</w:t>
      </w:r>
      <w:r w:rsidRPr="00080C64">
        <w:rPr>
          <w:sz w:val="28"/>
          <w:szCs w:val="28"/>
        </w:rPr>
        <w:t xml:space="preserve">, </w:t>
      </w:r>
      <w:r w:rsidR="00943AF0">
        <w:rPr>
          <w:sz w:val="28"/>
          <w:szCs w:val="28"/>
        </w:rPr>
        <w:t xml:space="preserve">в </w:t>
      </w:r>
      <w:r w:rsidRPr="00080C64">
        <w:rPr>
          <w:sz w:val="28"/>
          <w:szCs w:val="28"/>
        </w:rPr>
        <w:t xml:space="preserve"> соответств</w:t>
      </w:r>
      <w:r w:rsidR="00943AF0">
        <w:rPr>
          <w:sz w:val="28"/>
          <w:szCs w:val="28"/>
        </w:rPr>
        <w:t>ии с</w:t>
      </w:r>
      <w:r w:rsidRPr="00080C64">
        <w:rPr>
          <w:sz w:val="28"/>
          <w:szCs w:val="28"/>
        </w:rPr>
        <w:t xml:space="preserve"> требованиям</w:t>
      </w:r>
      <w:r w:rsidR="00943AF0">
        <w:rPr>
          <w:sz w:val="28"/>
          <w:szCs w:val="28"/>
        </w:rPr>
        <w:t xml:space="preserve">и </w:t>
      </w:r>
      <w:r w:rsidRPr="00080C64">
        <w:rPr>
          <w:sz w:val="28"/>
          <w:szCs w:val="28"/>
        </w:rPr>
        <w:t>статьи 51 Положения «Об основах бюджетного устройства и бюджетного процесса в городе Липецке».</w:t>
      </w:r>
    </w:p>
    <w:p w:rsidR="00263BB4" w:rsidRPr="00080C64" w:rsidRDefault="00230ED3" w:rsidP="00080C6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целях реализации принципа </w:t>
      </w:r>
      <w:r w:rsidR="005C4A38">
        <w:rPr>
          <w:sz w:val="28"/>
          <w:szCs w:val="28"/>
        </w:rPr>
        <w:t xml:space="preserve">прозрачности (открытости) и эффективности бюджетной политики, начиная с 1 января 2020 года на едином портале бюджетной системы </w:t>
      </w:r>
      <w:r w:rsidR="00FD566C">
        <w:rPr>
          <w:sz w:val="28"/>
          <w:szCs w:val="28"/>
        </w:rPr>
        <w:t>предусмотрено</w:t>
      </w:r>
      <w:r w:rsidR="005C4A38">
        <w:rPr>
          <w:sz w:val="28"/>
          <w:szCs w:val="28"/>
        </w:rPr>
        <w:t xml:space="preserve"> размещение форм и сведений о планировании и исполнении бюджета в соответствии с требованиями приказа Минфина РФ от 28.12.2016 № 2</w:t>
      </w:r>
      <w:r w:rsidR="00041BC9">
        <w:rPr>
          <w:sz w:val="28"/>
          <w:szCs w:val="28"/>
        </w:rPr>
        <w:t>4</w:t>
      </w:r>
      <w:r w:rsidR="008919E2">
        <w:rPr>
          <w:sz w:val="28"/>
          <w:szCs w:val="28"/>
        </w:rPr>
        <w:t>3</w:t>
      </w:r>
      <w:r w:rsidR="005C4A38">
        <w:rPr>
          <w:sz w:val="28"/>
          <w:szCs w:val="28"/>
        </w:rPr>
        <w:t>н «О составе и порядке размещения и предоставления информации на едином портале бюджетной системы Российской Федерации».</w:t>
      </w:r>
      <w:proofErr w:type="gramEnd"/>
    </w:p>
    <w:p w:rsidR="00DD68EC" w:rsidRDefault="00C94576" w:rsidP="00871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596D">
        <w:rPr>
          <w:sz w:val="28"/>
          <w:szCs w:val="28"/>
        </w:rPr>
        <w:t>роект бюджета н</w:t>
      </w:r>
      <w:r w:rsidR="00FD566C">
        <w:rPr>
          <w:sz w:val="28"/>
          <w:szCs w:val="28"/>
        </w:rPr>
        <w:t>а предстоящий трехлетний период способствует</w:t>
      </w:r>
      <w:r>
        <w:rPr>
          <w:sz w:val="28"/>
          <w:szCs w:val="28"/>
        </w:rPr>
        <w:t xml:space="preserve"> созданию</w:t>
      </w:r>
      <w:r w:rsidR="000C596D">
        <w:rPr>
          <w:sz w:val="28"/>
          <w:szCs w:val="28"/>
        </w:rPr>
        <w:t xml:space="preserve"> </w:t>
      </w:r>
      <w:r w:rsidR="00E200EB">
        <w:rPr>
          <w:sz w:val="28"/>
          <w:szCs w:val="28"/>
        </w:rPr>
        <w:t>необходимы</w:t>
      </w:r>
      <w:r>
        <w:rPr>
          <w:sz w:val="28"/>
          <w:szCs w:val="28"/>
        </w:rPr>
        <w:t>х</w:t>
      </w:r>
      <w:r w:rsidR="00E200EB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="00E200EB">
        <w:rPr>
          <w:sz w:val="28"/>
          <w:szCs w:val="28"/>
        </w:rPr>
        <w:t xml:space="preserve"> для реализации задач, поставленных в Указе Пр</w:t>
      </w:r>
      <w:r w:rsidR="006D7294">
        <w:rPr>
          <w:sz w:val="28"/>
          <w:szCs w:val="28"/>
        </w:rPr>
        <w:t>езидента</w:t>
      </w:r>
      <w:r w:rsidR="00D83891">
        <w:rPr>
          <w:sz w:val="28"/>
          <w:szCs w:val="28"/>
        </w:rPr>
        <w:t xml:space="preserve"> РФ от 07.05.2018 №204 «О н</w:t>
      </w:r>
      <w:r w:rsidR="00E200EB">
        <w:rPr>
          <w:sz w:val="28"/>
          <w:szCs w:val="28"/>
        </w:rPr>
        <w:t>ациональных целях и стратегических задачах развития Российской Федерации на период до 2024 года</w:t>
      </w:r>
      <w:r w:rsidR="006D7294">
        <w:rPr>
          <w:sz w:val="28"/>
          <w:szCs w:val="28"/>
        </w:rPr>
        <w:t>» и разработанных</w:t>
      </w:r>
      <w:r w:rsidR="00FE08EB">
        <w:rPr>
          <w:sz w:val="28"/>
          <w:szCs w:val="28"/>
        </w:rPr>
        <w:t xml:space="preserve"> в соответствии с ним</w:t>
      </w:r>
      <w:r w:rsidR="006D7294">
        <w:rPr>
          <w:sz w:val="28"/>
          <w:szCs w:val="28"/>
        </w:rPr>
        <w:t xml:space="preserve"> </w:t>
      </w:r>
      <w:r w:rsidR="00D83891">
        <w:rPr>
          <w:sz w:val="28"/>
          <w:szCs w:val="28"/>
        </w:rPr>
        <w:t>н</w:t>
      </w:r>
      <w:r w:rsidR="00E200EB">
        <w:rPr>
          <w:sz w:val="28"/>
          <w:szCs w:val="28"/>
        </w:rPr>
        <w:t>ациональных</w:t>
      </w:r>
      <w:r w:rsidR="0040683D">
        <w:rPr>
          <w:sz w:val="28"/>
          <w:szCs w:val="28"/>
        </w:rPr>
        <w:t xml:space="preserve"> и региональных</w:t>
      </w:r>
      <w:r w:rsidR="00E200EB">
        <w:rPr>
          <w:sz w:val="28"/>
          <w:szCs w:val="28"/>
        </w:rPr>
        <w:t xml:space="preserve"> проектов. </w:t>
      </w:r>
    </w:p>
    <w:p w:rsidR="000C596D" w:rsidRDefault="00E200EB" w:rsidP="00871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необходимых финансовых ресурсов, направляемых на достижение целей, сформированных в документах стратегического планирования города Липецка, разработан проект </w:t>
      </w:r>
      <w:r w:rsidR="00C94576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бюджетного прогноза города Липецка. С учетом этого, предусмотрено обеспечение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соответствующих мероприятий национальных</w:t>
      </w:r>
      <w:r w:rsidR="0040683D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проектов в рамках муниципальных программ города Липецка.</w:t>
      </w:r>
    </w:p>
    <w:p w:rsidR="0040683D" w:rsidRDefault="0040683D" w:rsidP="00871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 запланирована реализация мероприятий в рамках четырех национальных проектов «Жилье и городская среда», «Безопасные и качественные дороги», «Демография», «Экология»</w:t>
      </w:r>
      <w:r w:rsidR="00FE08EB">
        <w:rPr>
          <w:sz w:val="28"/>
          <w:szCs w:val="28"/>
        </w:rPr>
        <w:t xml:space="preserve"> на финансирование которых потребуется 136,0 млн. руб. собственных средств и более 4 млрд. руб. привлеченных из бюджетов других уровней.</w:t>
      </w:r>
    </w:p>
    <w:p w:rsidR="00394039" w:rsidRDefault="006E37ED" w:rsidP="00871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экспертизы проекта бюджета пров</w:t>
      </w:r>
      <w:r w:rsidR="00704CE9">
        <w:rPr>
          <w:sz w:val="28"/>
          <w:szCs w:val="28"/>
        </w:rPr>
        <w:t xml:space="preserve">еден анализ основных параметров </w:t>
      </w:r>
      <w:r>
        <w:rPr>
          <w:sz w:val="28"/>
          <w:szCs w:val="28"/>
        </w:rPr>
        <w:t>бюджета, а также соблюдение предельных ограничений, установленных бюджетным законодательством, результаты которого п</w:t>
      </w:r>
      <w:r w:rsidR="0019313F">
        <w:rPr>
          <w:sz w:val="28"/>
          <w:szCs w:val="28"/>
        </w:rPr>
        <w:t>редставлены в следующей таблице:</w:t>
      </w:r>
    </w:p>
    <w:p w:rsidR="00080C64" w:rsidRPr="00633E3A" w:rsidRDefault="00B376B7" w:rsidP="008F2339">
      <w:pPr>
        <w:ind w:firstLine="708"/>
        <w:jc w:val="right"/>
        <w:rPr>
          <w:sz w:val="22"/>
          <w:szCs w:val="22"/>
        </w:rPr>
      </w:pPr>
      <w:r w:rsidRPr="00633E3A">
        <w:rPr>
          <w:sz w:val="22"/>
          <w:szCs w:val="22"/>
        </w:rPr>
        <w:t>м</w:t>
      </w:r>
      <w:r w:rsidR="00080C64" w:rsidRPr="00633E3A">
        <w:rPr>
          <w:sz w:val="22"/>
          <w:szCs w:val="22"/>
        </w:rPr>
        <w:t>лн. руб.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6"/>
        <w:gridCol w:w="1275"/>
        <w:gridCol w:w="993"/>
        <w:gridCol w:w="1134"/>
        <w:gridCol w:w="850"/>
        <w:gridCol w:w="851"/>
        <w:gridCol w:w="1043"/>
      </w:tblGrid>
      <w:tr w:rsidR="00633E3A" w:rsidRPr="00633E3A" w:rsidTr="008919E2">
        <w:trPr>
          <w:trHeight w:val="45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633E3A" w:rsidRPr="00633E3A" w:rsidRDefault="00633E3A" w:rsidP="008F2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3E3A" w:rsidRDefault="00633E3A" w:rsidP="00EC5A74">
            <w:pPr>
              <w:jc w:val="center"/>
              <w:rPr>
                <w:sz w:val="22"/>
                <w:szCs w:val="22"/>
              </w:rPr>
            </w:pPr>
          </w:p>
          <w:p w:rsidR="00633E3A" w:rsidRDefault="00633E3A" w:rsidP="00EC5A74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Бюджет 201</w:t>
            </w:r>
            <w:r w:rsidR="0040683D">
              <w:rPr>
                <w:sz w:val="22"/>
                <w:szCs w:val="22"/>
              </w:rPr>
              <w:t>9</w:t>
            </w:r>
            <w:r w:rsidRPr="00633E3A">
              <w:rPr>
                <w:sz w:val="22"/>
                <w:szCs w:val="22"/>
              </w:rPr>
              <w:t xml:space="preserve"> г.</w:t>
            </w:r>
          </w:p>
          <w:p w:rsidR="00633E3A" w:rsidRPr="00633E3A" w:rsidRDefault="00633E3A" w:rsidP="00EC5A7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первоначальный</w:t>
            </w:r>
          </w:p>
          <w:p w:rsidR="00633E3A" w:rsidRPr="00633E3A" w:rsidRDefault="00633E3A" w:rsidP="00EC5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EC5A74" w:rsidRDefault="00633E3A" w:rsidP="00633E3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 xml:space="preserve">Бюджет </w:t>
            </w:r>
          </w:p>
          <w:p w:rsidR="00633E3A" w:rsidRDefault="00633E3A" w:rsidP="00633E3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201</w:t>
            </w:r>
            <w:r w:rsidR="0040683D">
              <w:rPr>
                <w:sz w:val="22"/>
                <w:szCs w:val="22"/>
              </w:rPr>
              <w:t>9</w:t>
            </w:r>
            <w:r w:rsidRPr="00633E3A">
              <w:rPr>
                <w:sz w:val="22"/>
                <w:szCs w:val="22"/>
              </w:rPr>
              <w:t xml:space="preserve"> г. </w:t>
            </w:r>
            <w:proofErr w:type="gramStart"/>
            <w:r w:rsidRPr="00633E3A">
              <w:rPr>
                <w:sz w:val="22"/>
                <w:szCs w:val="22"/>
              </w:rPr>
              <w:t>уточнен-</w:t>
            </w:r>
            <w:proofErr w:type="spellStart"/>
            <w:r w:rsidRPr="00633E3A"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  <w:p w:rsidR="00633E3A" w:rsidRPr="00633E3A" w:rsidRDefault="00633E3A" w:rsidP="0040683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3</w:t>
            </w:r>
            <w:r w:rsidR="006374A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.10.201</w:t>
            </w:r>
            <w:r w:rsidR="0040683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633E3A" w:rsidRDefault="00633E3A" w:rsidP="00633E3A">
            <w:pPr>
              <w:jc w:val="center"/>
              <w:rPr>
                <w:sz w:val="22"/>
                <w:szCs w:val="22"/>
              </w:rPr>
            </w:pPr>
          </w:p>
          <w:p w:rsidR="00633E3A" w:rsidRDefault="00633E3A" w:rsidP="00633E3A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Бюджет 20</w:t>
            </w:r>
            <w:r w:rsidR="0040683D">
              <w:rPr>
                <w:sz w:val="22"/>
                <w:szCs w:val="22"/>
              </w:rPr>
              <w:t>20</w:t>
            </w:r>
            <w:r w:rsidRPr="00633E3A">
              <w:rPr>
                <w:sz w:val="22"/>
                <w:szCs w:val="22"/>
              </w:rPr>
              <w:t xml:space="preserve"> г</w:t>
            </w:r>
            <w:r w:rsidR="00EC5A74">
              <w:rPr>
                <w:sz w:val="22"/>
                <w:szCs w:val="22"/>
              </w:rPr>
              <w:t>.</w:t>
            </w:r>
          </w:p>
          <w:p w:rsidR="00633E3A" w:rsidRPr="00633E3A" w:rsidRDefault="00633E3A" w:rsidP="00EC5A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3E3A" w:rsidRPr="00633E3A" w:rsidRDefault="00EC5A74" w:rsidP="00406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первоначаль</w:t>
            </w:r>
            <w:r w:rsidR="00633E3A" w:rsidRPr="00633E3A">
              <w:rPr>
                <w:sz w:val="22"/>
                <w:szCs w:val="22"/>
              </w:rPr>
              <w:t>ного  201</w:t>
            </w:r>
            <w:r w:rsidR="0040683D">
              <w:rPr>
                <w:sz w:val="22"/>
                <w:szCs w:val="22"/>
              </w:rPr>
              <w:t>9</w:t>
            </w:r>
            <w:r w:rsidR="00633E3A" w:rsidRPr="00633E3A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633E3A" w:rsidRPr="00633E3A" w:rsidRDefault="00633E3A" w:rsidP="00205400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Проект плановый период</w:t>
            </w:r>
          </w:p>
        </w:tc>
      </w:tr>
      <w:tr w:rsidR="00633E3A" w:rsidRPr="00633E3A" w:rsidTr="008919E2">
        <w:trPr>
          <w:trHeight w:val="457"/>
        </w:trPr>
        <w:tc>
          <w:tcPr>
            <w:tcW w:w="2269" w:type="dxa"/>
            <w:vMerge/>
            <w:shd w:val="clear" w:color="auto" w:fill="auto"/>
            <w:vAlign w:val="center"/>
          </w:tcPr>
          <w:p w:rsidR="00633E3A" w:rsidRPr="00633E3A" w:rsidRDefault="00633E3A" w:rsidP="008F2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3E3A" w:rsidRPr="00633E3A" w:rsidRDefault="00633E3A" w:rsidP="00581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33E3A" w:rsidRPr="00633E3A" w:rsidRDefault="00633E3A" w:rsidP="00C15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33E3A" w:rsidRPr="00633E3A" w:rsidRDefault="00633E3A" w:rsidP="008F2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3E3A" w:rsidRPr="00633E3A" w:rsidRDefault="00633E3A" w:rsidP="008F2339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сумма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3E3A" w:rsidRPr="00633E3A" w:rsidRDefault="00633E3A" w:rsidP="008F2339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633E3A" w:rsidRDefault="00633E3A" w:rsidP="00633E3A">
            <w:pPr>
              <w:ind w:left="-113" w:firstLine="113"/>
              <w:rPr>
                <w:sz w:val="22"/>
                <w:szCs w:val="22"/>
              </w:rPr>
            </w:pPr>
          </w:p>
          <w:p w:rsidR="00633E3A" w:rsidRPr="00633E3A" w:rsidRDefault="00537E3A" w:rsidP="0040683D">
            <w:pPr>
              <w:ind w:left="-113" w:right="-108"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B2615">
              <w:rPr>
                <w:sz w:val="22"/>
                <w:szCs w:val="22"/>
              </w:rPr>
              <w:t>2</w:t>
            </w:r>
            <w:r w:rsidR="004068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633E3A" w:rsidRPr="00633E3A">
              <w:rPr>
                <w:sz w:val="22"/>
                <w:szCs w:val="22"/>
              </w:rPr>
              <w:t>г.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33E3A" w:rsidRPr="00633E3A" w:rsidRDefault="00633E3A" w:rsidP="0040683D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40683D">
              <w:rPr>
                <w:sz w:val="22"/>
                <w:szCs w:val="22"/>
              </w:rPr>
              <w:t>2</w:t>
            </w:r>
            <w:r w:rsidRPr="00633E3A">
              <w:rPr>
                <w:sz w:val="22"/>
                <w:szCs w:val="22"/>
              </w:rPr>
              <w:t xml:space="preserve"> г.</w:t>
            </w:r>
          </w:p>
        </w:tc>
      </w:tr>
      <w:tr w:rsidR="00633E3A" w:rsidRPr="00633E3A" w:rsidTr="008919E2">
        <w:tc>
          <w:tcPr>
            <w:tcW w:w="2269" w:type="dxa"/>
            <w:shd w:val="clear" w:color="auto" w:fill="auto"/>
          </w:tcPr>
          <w:p w:rsidR="00633E3A" w:rsidRPr="00633E3A" w:rsidRDefault="00633E3A" w:rsidP="006E37ED">
            <w:pPr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Доходы всего:</w:t>
            </w:r>
          </w:p>
          <w:p w:rsidR="00633E3A" w:rsidRPr="00633E3A" w:rsidRDefault="00633E3A" w:rsidP="00294DC5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48678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10856,8</w:t>
            </w:r>
          </w:p>
        </w:tc>
        <w:tc>
          <w:tcPr>
            <w:tcW w:w="1275" w:type="dxa"/>
          </w:tcPr>
          <w:p w:rsidR="00633E3A" w:rsidRPr="00633E3A" w:rsidRDefault="0048678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14334,6</w:t>
            </w:r>
          </w:p>
        </w:tc>
        <w:tc>
          <w:tcPr>
            <w:tcW w:w="993" w:type="dxa"/>
          </w:tcPr>
          <w:p w:rsidR="00633E3A" w:rsidRPr="00633E3A" w:rsidRDefault="0048678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11263,7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48678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+ 406,9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48678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+ 3,7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48678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9459,4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48678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9476,6</w:t>
            </w:r>
          </w:p>
        </w:tc>
      </w:tr>
      <w:tr w:rsidR="00633E3A" w:rsidRPr="00633E3A" w:rsidTr="008919E2">
        <w:tc>
          <w:tcPr>
            <w:tcW w:w="2269" w:type="dxa"/>
            <w:shd w:val="clear" w:color="auto" w:fill="auto"/>
          </w:tcPr>
          <w:p w:rsidR="00633E3A" w:rsidRPr="00633E3A" w:rsidRDefault="00633E3A" w:rsidP="00294DC5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собственные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7E06ED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4598,2</w:t>
            </w:r>
          </w:p>
        </w:tc>
        <w:tc>
          <w:tcPr>
            <w:tcW w:w="1275" w:type="dxa"/>
          </w:tcPr>
          <w:p w:rsidR="00633E3A" w:rsidRPr="00633E3A" w:rsidRDefault="007E06ED" w:rsidP="000C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4948,8</w:t>
            </w:r>
          </w:p>
        </w:tc>
        <w:tc>
          <w:tcPr>
            <w:tcW w:w="993" w:type="dxa"/>
          </w:tcPr>
          <w:p w:rsidR="00633E3A" w:rsidRPr="00633E3A" w:rsidRDefault="007E06ED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4863,3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7E06ED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+ 265,1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7E06ED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+ 5,8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7E06ED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4824,1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7E06ED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4932,5</w:t>
            </w:r>
          </w:p>
        </w:tc>
      </w:tr>
      <w:tr w:rsidR="00633E3A" w:rsidRPr="00633E3A" w:rsidTr="008919E2">
        <w:tc>
          <w:tcPr>
            <w:tcW w:w="2269" w:type="dxa"/>
            <w:shd w:val="clear" w:color="auto" w:fill="auto"/>
          </w:tcPr>
          <w:p w:rsidR="00633E3A" w:rsidRPr="00633E3A" w:rsidRDefault="00633E3A" w:rsidP="00294DC5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 xml:space="preserve">   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633E3A" w:rsidRDefault="00BD26FC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6258,6</w:t>
            </w:r>
          </w:p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33E3A" w:rsidRPr="00633E3A" w:rsidRDefault="00BD26FC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9385,8</w:t>
            </w:r>
          </w:p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33E3A" w:rsidRPr="00633E3A" w:rsidRDefault="00BD26FC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6400,5</w:t>
            </w:r>
          </w:p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3E3A" w:rsidRPr="00633E3A" w:rsidRDefault="00BD26FC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+ 141,9</w:t>
            </w:r>
          </w:p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33E3A" w:rsidRPr="00633E3A" w:rsidRDefault="00634F8B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+ 2,3</w:t>
            </w:r>
          </w:p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33E3A" w:rsidRDefault="00BD26FC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4635,3</w:t>
            </w:r>
          </w:p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633E3A" w:rsidRPr="00633E3A" w:rsidRDefault="00BD26FC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4544,2</w:t>
            </w:r>
          </w:p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</w:p>
        </w:tc>
      </w:tr>
      <w:tr w:rsidR="00633E3A" w:rsidRPr="00633E3A" w:rsidTr="008919E2">
        <w:tc>
          <w:tcPr>
            <w:tcW w:w="2269" w:type="dxa"/>
            <w:shd w:val="clear" w:color="auto" w:fill="auto"/>
          </w:tcPr>
          <w:p w:rsidR="00633E3A" w:rsidRPr="00633E3A" w:rsidRDefault="00633E3A" w:rsidP="006E37ED">
            <w:pPr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Расходы всего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42606E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11168,6</w:t>
            </w:r>
          </w:p>
        </w:tc>
        <w:tc>
          <w:tcPr>
            <w:tcW w:w="1275" w:type="dxa"/>
          </w:tcPr>
          <w:p w:rsidR="00633E3A" w:rsidRPr="00633E3A" w:rsidRDefault="0042606E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15108,6</w:t>
            </w:r>
          </w:p>
        </w:tc>
        <w:tc>
          <w:tcPr>
            <w:tcW w:w="993" w:type="dxa"/>
          </w:tcPr>
          <w:p w:rsidR="00633E3A" w:rsidRPr="00633E3A" w:rsidRDefault="0042606E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11657,5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42606E" w:rsidP="00406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+ 488,9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4E168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+ 4,4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4E168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9459,4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4E168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9476,6</w:t>
            </w:r>
          </w:p>
        </w:tc>
      </w:tr>
      <w:tr w:rsidR="00633E3A" w:rsidRPr="00633E3A" w:rsidTr="008919E2">
        <w:tc>
          <w:tcPr>
            <w:tcW w:w="2269" w:type="dxa"/>
            <w:shd w:val="clear" w:color="auto" w:fill="auto"/>
          </w:tcPr>
          <w:p w:rsidR="00633E3A" w:rsidRPr="00633E3A" w:rsidRDefault="00633E3A" w:rsidP="00695966">
            <w:pPr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Дефицит</w:t>
            </w:r>
            <w:proofErr w:type="gramStart"/>
            <w:r w:rsidRPr="00633E3A">
              <w:rPr>
                <w:b/>
                <w:sz w:val="22"/>
                <w:szCs w:val="22"/>
              </w:rPr>
              <w:t xml:space="preserve"> (-)   </w:t>
            </w:r>
            <w:proofErr w:type="gramEnd"/>
          </w:p>
          <w:p w:rsidR="00633E3A" w:rsidRPr="00633E3A" w:rsidRDefault="00633E3A" w:rsidP="00695966">
            <w:pPr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профицит</w:t>
            </w:r>
            <w:proofErr w:type="gramStart"/>
            <w:r w:rsidRPr="00633E3A">
              <w:rPr>
                <w:b/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33E3A" w:rsidRPr="00633E3A" w:rsidRDefault="000751FF" w:rsidP="00406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A2773">
              <w:rPr>
                <w:sz w:val="22"/>
                <w:szCs w:val="22"/>
              </w:rPr>
              <w:t xml:space="preserve"> 311,8</w:t>
            </w:r>
          </w:p>
        </w:tc>
        <w:tc>
          <w:tcPr>
            <w:tcW w:w="1275" w:type="dxa"/>
          </w:tcPr>
          <w:p w:rsidR="00633E3A" w:rsidRPr="00633E3A" w:rsidRDefault="00BA2773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-774,0</w:t>
            </w:r>
          </w:p>
        </w:tc>
        <w:tc>
          <w:tcPr>
            <w:tcW w:w="993" w:type="dxa"/>
          </w:tcPr>
          <w:p w:rsidR="00633E3A" w:rsidRPr="00633E3A" w:rsidRDefault="00633E3A" w:rsidP="00865F61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 xml:space="preserve">- </w:t>
            </w:r>
            <w:r w:rsidR="00BA2773">
              <w:rPr>
                <w:sz w:val="22"/>
                <w:szCs w:val="22"/>
              </w:rPr>
              <w:t>393,8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BA2773" w:rsidP="006D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(-82,0)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BA2773" w:rsidP="006D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+ 26,3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5D1C58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-</w:t>
            </w:r>
          </w:p>
        </w:tc>
      </w:tr>
      <w:tr w:rsidR="00633E3A" w:rsidRPr="00633E3A" w:rsidTr="008919E2">
        <w:tc>
          <w:tcPr>
            <w:tcW w:w="2269" w:type="dxa"/>
            <w:shd w:val="clear" w:color="auto" w:fill="auto"/>
          </w:tcPr>
          <w:p w:rsidR="00633E3A" w:rsidRPr="00633E3A" w:rsidRDefault="00633E3A" w:rsidP="00C11C72">
            <w:pPr>
              <w:ind w:right="-142"/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 xml:space="preserve">Доля дефицита от объема доходов, </w:t>
            </w:r>
            <w:r w:rsidR="005D1C58">
              <w:rPr>
                <w:b/>
                <w:sz w:val="22"/>
                <w:szCs w:val="22"/>
              </w:rPr>
              <w:t>в соответствии со ст. 92,1 БК РФ</w:t>
            </w:r>
            <w:r w:rsidR="008B00D5">
              <w:rPr>
                <w:b/>
                <w:sz w:val="22"/>
                <w:szCs w:val="22"/>
              </w:rPr>
              <w:t>,</w:t>
            </w:r>
          </w:p>
          <w:p w:rsidR="00633E3A" w:rsidRPr="00633E3A" w:rsidRDefault="00633E3A" w:rsidP="00DF4ED1">
            <w:pPr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в % (предельное значение 10%)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5B3F92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5" w:type="dxa"/>
          </w:tcPr>
          <w:p w:rsidR="00633E3A" w:rsidRPr="00633E3A" w:rsidRDefault="005B3F92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  <w:r w:rsidR="00633E3A" w:rsidRPr="00633E3A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</w:tcPr>
          <w:p w:rsidR="00633E3A" w:rsidRPr="00633E3A" w:rsidRDefault="005B3F92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5B3F92" w:rsidP="00865F61">
            <w:pPr>
              <w:ind w:left="-108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+ 1,4</w:t>
            </w:r>
            <w:r w:rsidR="00633E3A" w:rsidRPr="00633E3A">
              <w:rPr>
                <w:sz w:val="22"/>
                <w:szCs w:val="22"/>
              </w:rPr>
              <w:t>п.п.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5B3F92" w:rsidP="006D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+ 18,7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633E3A" w:rsidP="00C57D99">
            <w:pPr>
              <w:jc w:val="center"/>
              <w:rPr>
                <w:sz w:val="22"/>
                <w:szCs w:val="22"/>
              </w:rPr>
            </w:pPr>
            <w:r w:rsidRPr="00633E3A">
              <w:rPr>
                <w:sz w:val="22"/>
                <w:szCs w:val="22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5D1C58" w:rsidP="00C57D99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3E3A" w:rsidRPr="00633E3A" w:rsidTr="008919E2">
        <w:tc>
          <w:tcPr>
            <w:tcW w:w="2269" w:type="dxa"/>
            <w:shd w:val="clear" w:color="auto" w:fill="auto"/>
          </w:tcPr>
          <w:p w:rsidR="00633E3A" w:rsidRPr="00633E3A" w:rsidRDefault="003F5B0B" w:rsidP="003F5B0B">
            <w:pPr>
              <w:tabs>
                <w:tab w:val="left" w:pos="1701"/>
              </w:tabs>
              <w:ind w:right="-1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</w:t>
            </w:r>
            <w:r w:rsidR="00633E3A" w:rsidRPr="00633E3A">
              <w:rPr>
                <w:b/>
                <w:sz w:val="22"/>
                <w:szCs w:val="22"/>
              </w:rPr>
              <w:t>бъем муниципального долга</w:t>
            </w:r>
            <w:r>
              <w:rPr>
                <w:b/>
                <w:sz w:val="22"/>
                <w:szCs w:val="22"/>
              </w:rPr>
              <w:t xml:space="preserve"> (на нач. года) в том числе:</w:t>
            </w:r>
          </w:p>
        </w:tc>
        <w:tc>
          <w:tcPr>
            <w:tcW w:w="1276" w:type="dxa"/>
            <w:shd w:val="clear" w:color="auto" w:fill="auto"/>
          </w:tcPr>
          <w:p w:rsidR="00633E3A" w:rsidRPr="00633E3A" w:rsidRDefault="00193DA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2486,9</w:t>
            </w:r>
          </w:p>
        </w:tc>
        <w:tc>
          <w:tcPr>
            <w:tcW w:w="1275" w:type="dxa"/>
          </w:tcPr>
          <w:p w:rsidR="00633E3A" w:rsidRPr="00633E3A" w:rsidRDefault="00193DA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2486,9</w:t>
            </w:r>
          </w:p>
        </w:tc>
        <w:tc>
          <w:tcPr>
            <w:tcW w:w="993" w:type="dxa"/>
          </w:tcPr>
          <w:p w:rsidR="00633E3A" w:rsidRPr="00633E3A" w:rsidRDefault="00193DA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2402,4</w:t>
            </w:r>
          </w:p>
        </w:tc>
        <w:tc>
          <w:tcPr>
            <w:tcW w:w="1134" w:type="dxa"/>
            <w:shd w:val="clear" w:color="auto" w:fill="auto"/>
          </w:tcPr>
          <w:p w:rsidR="00633E3A" w:rsidRPr="00633E3A" w:rsidRDefault="00193DA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- 84,5</w:t>
            </w:r>
          </w:p>
        </w:tc>
        <w:tc>
          <w:tcPr>
            <w:tcW w:w="850" w:type="dxa"/>
            <w:shd w:val="clear" w:color="auto" w:fill="auto"/>
          </w:tcPr>
          <w:p w:rsidR="00633E3A" w:rsidRPr="00633E3A" w:rsidRDefault="00193DA0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- 3,4</w:t>
            </w:r>
          </w:p>
        </w:tc>
        <w:tc>
          <w:tcPr>
            <w:tcW w:w="851" w:type="dxa"/>
            <w:shd w:val="clear" w:color="auto" w:fill="auto"/>
          </w:tcPr>
          <w:p w:rsidR="00633E3A" w:rsidRPr="00633E3A" w:rsidRDefault="00193DA0" w:rsidP="00C57D99">
            <w:pPr>
              <w:jc w:val="center"/>
              <w:rPr>
                <w:sz w:val="22"/>
                <w:szCs w:val="22"/>
              </w:rPr>
            </w:pPr>
            <w:r w:rsidRPr="00193DA0">
              <w:rPr>
                <w:sz w:val="22"/>
                <w:szCs w:val="22"/>
              </w:rPr>
              <w:t>2642,0</w:t>
            </w:r>
          </w:p>
        </w:tc>
        <w:tc>
          <w:tcPr>
            <w:tcW w:w="1043" w:type="dxa"/>
            <w:shd w:val="clear" w:color="auto" w:fill="auto"/>
          </w:tcPr>
          <w:p w:rsidR="00633E3A" w:rsidRPr="00633E3A" w:rsidRDefault="00193DA0" w:rsidP="00722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2580,0</w:t>
            </w:r>
          </w:p>
        </w:tc>
      </w:tr>
      <w:tr w:rsidR="003F5B0B" w:rsidRPr="00633E3A" w:rsidTr="008919E2">
        <w:tc>
          <w:tcPr>
            <w:tcW w:w="2269" w:type="dxa"/>
            <w:shd w:val="clear" w:color="auto" w:fill="auto"/>
          </w:tcPr>
          <w:p w:rsidR="003F5B0B" w:rsidRPr="0022728B" w:rsidRDefault="003F5B0B" w:rsidP="00DA7EC7">
            <w:pPr>
              <w:tabs>
                <w:tab w:val="left" w:pos="1701"/>
              </w:tabs>
              <w:ind w:right="-150"/>
              <w:rPr>
                <w:sz w:val="22"/>
                <w:szCs w:val="22"/>
              </w:rPr>
            </w:pPr>
            <w:r w:rsidRPr="00814C88">
              <w:rPr>
                <w:sz w:val="22"/>
                <w:szCs w:val="22"/>
              </w:rPr>
              <w:t>- кредиты</w:t>
            </w:r>
            <w:r w:rsidR="0022728B">
              <w:rPr>
                <w:sz w:val="22"/>
                <w:szCs w:val="22"/>
              </w:rPr>
              <w:t xml:space="preserve"> </w:t>
            </w:r>
            <w:r w:rsidRPr="00814C88">
              <w:rPr>
                <w:i/>
                <w:sz w:val="22"/>
                <w:szCs w:val="22"/>
              </w:rPr>
              <w:t>кредитных организаций</w:t>
            </w:r>
          </w:p>
        </w:tc>
        <w:tc>
          <w:tcPr>
            <w:tcW w:w="1276" w:type="dxa"/>
            <w:shd w:val="clear" w:color="auto" w:fill="auto"/>
          </w:tcPr>
          <w:p w:rsidR="00DA7EC7" w:rsidRPr="00633E3A" w:rsidRDefault="00DA7EC7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  <w:r w:rsidR="00235E6E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A7EC7" w:rsidRPr="00633E3A" w:rsidRDefault="00DA7EC7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  <w:r w:rsidR="00235E6E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DA7EC7" w:rsidRPr="00633E3A" w:rsidRDefault="00DA7EC7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2280</w:t>
            </w:r>
            <w:r w:rsidR="00235E6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A7EC7" w:rsidRPr="00633E3A" w:rsidRDefault="00DA7EC7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+250,0</w:t>
            </w:r>
          </w:p>
        </w:tc>
        <w:tc>
          <w:tcPr>
            <w:tcW w:w="850" w:type="dxa"/>
            <w:shd w:val="clear" w:color="auto" w:fill="auto"/>
          </w:tcPr>
          <w:p w:rsidR="00DA7EC7" w:rsidRPr="00633E3A" w:rsidRDefault="00DA7EC7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+ 12.3</w:t>
            </w:r>
          </w:p>
        </w:tc>
        <w:tc>
          <w:tcPr>
            <w:tcW w:w="851" w:type="dxa"/>
            <w:shd w:val="clear" w:color="auto" w:fill="auto"/>
          </w:tcPr>
          <w:p w:rsidR="00DA7EC7" w:rsidRPr="00633E3A" w:rsidRDefault="00DA7EC7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2580,0</w:t>
            </w:r>
          </w:p>
        </w:tc>
        <w:tc>
          <w:tcPr>
            <w:tcW w:w="1043" w:type="dxa"/>
            <w:shd w:val="clear" w:color="auto" w:fill="auto"/>
          </w:tcPr>
          <w:p w:rsidR="00DA7EC7" w:rsidRPr="00633E3A" w:rsidRDefault="00DA7EC7" w:rsidP="000751FF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2580,0</w:t>
            </w:r>
          </w:p>
        </w:tc>
      </w:tr>
      <w:tr w:rsidR="003F5B0B" w:rsidRPr="00633E3A" w:rsidTr="008919E2">
        <w:tc>
          <w:tcPr>
            <w:tcW w:w="2269" w:type="dxa"/>
            <w:shd w:val="clear" w:color="auto" w:fill="auto"/>
          </w:tcPr>
          <w:p w:rsidR="003F5B0B" w:rsidRPr="00814C88" w:rsidRDefault="00ED09E1" w:rsidP="00A414D2">
            <w:pPr>
              <w:tabs>
                <w:tab w:val="left" w:pos="1701"/>
              </w:tabs>
              <w:ind w:right="-150"/>
              <w:rPr>
                <w:i/>
                <w:sz w:val="22"/>
                <w:szCs w:val="22"/>
              </w:rPr>
            </w:pPr>
            <w:r w:rsidRPr="00814C88">
              <w:rPr>
                <w:i/>
                <w:sz w:val="22"/>
                <w:szCs w:val="22"/>
              </w:rPr>
              <w:t>- бюджетные кредиты</w:t>
            </w:r>
          </w:p>
        </w:tc>
        <w:tc>
          <w:tcPr>
            <w:tcW w:w="1276" w:type="dxa"/>
            <w:shd w:val="clear" w:color="auto" w:fill="auto"/>
          </w:tcPr>
          <w:p w:rsidR="00ED09E1" w:rsidRDefault="00ED09E1" w:rsidP="00C57D99">
            <w:pPr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275" w:type="dxa"/>
          </w:tcPr>
          <w:p w:rsidR="00ED09E1" w:rsidRDefault="00ED09E1" w:rsidP="00C57D99">
            <w:pPr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993" w:type="dxa"/>
          </w:tcPr>
          <w:p w:rsidR="00ED09E1" w:rsidRDefault="00ED09E1" w:rsidP="00C57D99">
            <w:pPr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E1" w:rsidRDefault="00ED09E1" w:rsidP="00C57D99">
            <w:pPr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- 6,5</w:t>
            </w:r>
          </w:p>
        </w:tc>
        <w:tc>
          <w:tcPr>
            <w:tcW w:w="850" w:type="dxa"/>
            <w:shd w:val="clear" w:color="auto" w:fill="auto"/>
          </w:tcPr>
          <w:p w:rsidR="00ED09E1" w:rsidRDefault="00ED09E1" w:rsidP="000751FF">
            <w:pPr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- 100</w:t>
            </w:r>
          </w:p>
        </w:tc>
        <w:tc>
          <w:tcPr>
            <w:tcW w:w="851" w:type="dxa"/>
            <w:shd w:val="clear" w:color="auto" w:fill="auto"/>
          </w:tcPr>
          <w:p w:rsidR="00ED09E1" w:rsidRDefault="00ED09E1" w:rsidP="00C57D99">
            <w:pPr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ED09E1" w:rsidRDefault="00ED09E1" w:rsidP="000751FF">
            <w:pPr>
              <w:ind w:left="222"/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0751FF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5B0B" w:rsidRPr="00633E3A" w:rsidTr="008919E2">
        <w:tc>
          <w:tcPr>
            <w:tcW w:w="2269" w:type="dxa"/>
            <w:shd w:val="clear" w:color="auto" w:fill="auto"/>
          </w:tcPr>
          <w:p w:rsidR="003F5B0B" w:rsidRPr="00814C88" w:rsidRDefault="00ED09E1" w:rsidP="00A414D2">
            <w:pPr>
              <w:tabs>
                <w:tab w:val="left" w:pos="1701"/>
              </w:tabs>
              <w:ind w:right="-150"/>
              <w:rPr>
                <w:sz w:val="22"/>
                <w:szCs w:val="22"/>
              </w:rPr>
            </w:pPr>
            <w:r w:rsidRPr="00814C88">
              <w:rPr>
                <w:sz w:val="22"/>
                <w:szCs w:val="22"/>
              </w:rPr>
              <w:t xml:space="preserve">- </w:t>
            </w:r>
            <w:proofErr w:type="gramStart"/>
            <w:r w:rsidRPr="00814C88">
              <w:rPr>
                <w:sz w:val="22"/>
                <w:szCs w:val="22"/>
              </w:rPr>
              <w:t>в</w:t>
            </w:r>
            <w:proofErr w:type="gramEnd"/>
            <w:r w:rsidRPr="00814C88">
              <w:rPr>
                <w:sz w:val="22"/>
                <w:szCs w:val="22"/>
              </w:rPr>
              <w:t xml:space="preserve"> % </w:t>
            </w:r>
            <w:proofErr w:type="gramStart"/>
            <w:r w:rsidRPr="00814C88">
              <w:rPr>
                <w:sz w:val="22"/>
                <w:szCs w:val="22"/>
              </w:rPr>
              <w:t>к</w:t>
            </w:r>
            <w:proofErr w:type="gramEnd"/>
            <w:r w:rsidRPr="00814C88">
              <w:rPr>
                <w:sz w:val="22"/>
                <w:szCs w:val="22"/>
              </w:rPr>
              <w:t xml:space="preserve"> общему долгу</w:t>
            </w:r>
          </w:p>
        </w:tc>
        <w:tc>
          <w:tcPr>
            <w:tcW w:w="1276" w:type="dxa"/>
            <w:shd w:val="clear" w:color="auto" w:fill="auto"/>
          </w:tcPr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1275" w:type="dxa"/>
          </w:tcPr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993" w:type="dxa"/>
          </w:tcPr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  <w:tc>
          <w:tcPr>
            <w:tcW w:w="1134" w:type="dxa"/>
            <w:shd w:val="clear" w:color="auto" w:fill="auto"/>
          </w:tcPr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+ 13,0</w:t>
            </w:r>
          </w:p>
        </w:tc>
        <w:tc>
          <w:tcPr>
            <w:tcW w:w="850" w:type="dxa"/>
            <w:shd w:val="clear" w:color="auto" w:fill="auto"/>
          </w:tcPr>
          <w:p w:rsidR="003F5B0B" w:rsidRPr="00633E3A" w:rsidRDefault="00ED09E1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+ 15,9</w:t>
            </w:r>
          </w:p>
        </w:tc>
        <w:tc>
          <w:tcPr>
            <w:tcW w:w="851" w:type="dxa"/>
            <w:shd w:val="clear" w:color="auto" w:fill="auto"/>
          </w:tcPr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1043" w:type="dxa"/>
            <w:shd w:val="clear" w:color="auto" w:fill="auto"/>
          </w:tcPr>
          <w:p w:rsidR="003F5B0B" w:rsidRPr="00633E3A" w:rsidRDefault="00ED09E1" w:rsidP="000751FF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F5B0B" w:rsidRPr="00633E3A" w:rsidTr="008919E2">
        <w:tc>
          <w:tcPr>
            <w:tcW w:w="2269" w:type="dxa"/>
            <w:shd w:val="clear" w:color="auto" w:fill="auto"/>
          </w:tcPr>
          <w:p w:rsidR="003F5B0B" w:rsidRPr="00814C88" w:rsidRDefault="00ED09E1" w:rsidP="00A414D2">
            <w:pPr>
              <w:tabs>
                <w:tab w:val="left" w:pos="1701"/>
              </w:tabs>
              <w:ind w:right="-150"/>
              <w:rPr>
                <w:sz w:val="22"/>
                <w:szCs w:val="22"/>
              </w:rPr>
            </w:pPr>
            <w:r w:rsidRPr="00814C88">
              <w:rPr>
                <w:sz w:val="22"/>
                <w:szCs w:val="22"/>
              </w:rPr>
              <w:t>- муниципальные гарантии</w:t>
            </w:r>
          </w:p>
        </w:tc>
        <w:tc>
          <w:tcPr>
            <w:tcW w:w="1276" w:type="dxa"/>
            <w:shd w:val="clear" w:color="auto" w:fill="auto"/>
          </w:tcPr>
          <w:p w:rsidR="00ED09E1" w:rsidRDefault="00ED09E1" w:rsidP="00C57D99">
            <w:pPr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450,4</w:t>
            </w:r>
          </w:p>
        </w:tc>
        <w:tc>
          <w:tcPr>
            <w:tcW w:w="1275" w:type="dxa"/>
          </w:tcPr>
          <w:p w:rsidR="00ED09E1" w:rsidRDefault="00ED09E1" w:rsidP="00ED09E1">
            <w:pPr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ED0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450,4</w:t>
            </w:r>
          </w:p>
        </w:tc>
        <w:tc>
          <w:tcPr>
            <w:tcW w:w="993" w:type="dxa"/>
          </w:tcPr>
          <w:p w:rsidR="00ED09E1" w:rsidRDefault="00ED09E1" w:rsidP="00C57D99">
            <w:pPr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122,4</w:t>
            </w:r>
          </w:p>
        </w:tc>
        <w:tc>
          <w:tcPr>
            <w:tcW w:w="1134" w:type="dxa"/>
            <w:shd w:val="clear" w:color="auto" w:fill="auto"/>
          </w:tcPr>
          <w:p w:rsidR="00ED09E1" w:rsidRDefault="00ED09E1" w:rsidP="00C57D99">
            <w:pPr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- 328,0</w:t>
            </w:r>
          </w:p>
        </w:tc>
        <w:tc>
          <w:tcPr>
            <w:tcW w:w="850" w:type="dxa"/>
            <w:shd w:val="clear" w:color="auto" w:fill="auto"/>
          </w:tcPr>
          <w:p w:rsidR="00ED09E1" w:rsidRDefault="00ED09E1" w:rsidP="000751FF">
            <w:pPr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- 27,2</w:t>
            </w:r>
          </w:p>
        </w:tc>
        <w:tc>
          <w:tcPr>
            <w:tcW w:w="851" w:type="dxa"/>
            <w:shd w:val="clear" w:color="auto" w:fill="auto"/>
          </w:tcPr>
          <w:p w:rsidR="00ED09E1" w:rsidRDefault="00ED09E1" w:rsidP="00C57D99">
            <w:pPr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235E6E">
              <w:rPr>
                <w:sz w:val="22"/>
                <w:szCs w:val="22"/>
              </w:rPr>
              <w:t>,0</w:t>
            </w:r>
          </w:p>
        </w:tc>
        <w:tc>
          <w:tcPr>
            <w:tcW w:w="1043" w:type="dxa"/>
            <w:shd w:val="clear" w:color="auto" w:fill="auto"/>
          </w:tcPr>
          <w:p w:rsidR="00ED09E1" w:rsidRDefault="00ED09E1" w:rsidP="000751FF">
            <w:pPr>
              <w:ind w:left="222"/>
              <w:jc w:val="center"/>
              <w:rPr>
                <w:sz w:val="22"/>
                <w:szCs w:val="22"/>
              </w:rPr>
            </w:pPr>
          </w:p>
          <w:p w:rsidR="003F5B0B" w:rsidRPr="00633E3A" w:rsidRDefault="00ED09E1" w:rsidP="000751FF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0F49" w:rsidRPr="00633E3A" w:rsidTr="008919E2">
        <w:tc>
          <w:tcPr>
            <w:tcW w:w="2269" w:type="dxa"/>
            <w:shd w:val="clear" w:color="auto" w:fill="auto"/>
          </w:tcPr>
          <w:p w:rsidR="00850F49" w:rsidRPr="00814C88" w:rsidRDefault="00850F49" w:rsidP="00A414D2">
            <w:pPr>
              <w:tabs>
                <w:tab w:val="left" w:pos="1701"/>
              </w:tabs>
              <w:ind w:right="-150"/>
              <w:rPr>
                <w:sz w:val="22"/>
                <w:szCs w:val="22"/>
              </w:rPr>
            </w:pPr>
            <w:r w:rsidRPr="00814C88">
              <w:rPr>
                <w:sz w:val="22"/>
                <w:szCs w:val="22"/>
              </w:rPr>
              <w:t xml:space="preserve">- </w:t>
            </w:r>
            <w:proofErr w:type="gramStart"/>
            <w:r w:rsidRPr="00814C88">
              <w:rPr>
                <w:sz w:val="22"/>
                <w:szCs w:val="22"/>
              </w:rPr>
              <w:t>в</w:t>
            </w:r>
            <w:proofErr w:type="gramEnd"/>
            <w:r w:rsidRPr="00814C88">
              <w:rPr>
                <w:sz w:val="22"/>
                <w:szCs w:val="22"/>
              </w:rPr>
              <w:t xml:space="preserve"> % </w:t>
            </w:r>
            <w:proofErr w:type="gramStart"/>
            <w:r w:rsidRPr="00814C88">
              <w:rPr>
                <w:sz w:val="22"/>
                <w:szCs w:val="22"/>
              </w:rPr>
              <w:t>к</w:t>
            </w:r>
            <w:proofErr w:type="gramEnd"/>
            <w:r w:rsidRPr="00814C88">
              <w:rPr>
                <w:sz w:val="22"/>
                <w:szCs w:val="22"/>
              </w:rPr>
              <w:t xml:space="preserve"> общему долгу</w:t>
            </w:r>
          </w:p>
        </w:tc>
        <w:tc>
          <w:tcPr>
            <w:tcW w:w="1276" w:type="dxa"/>
            <w:shd w:val="clear" w:color="auto" w:fill="auto"/>
          </w:tcPr>
          <w:p w:rsidR="00850F49" w:rsidRDefault="00850F49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1275" w:type="dxa"/>
          </w:tcPr>
          <w:p w:rsidR="00850F49" w:rsidRDefault="00850F49" w:rsidP="00ED0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993" w:type="dxa"/>
          </w:tcPr>
          <w:p w:rsidR="00850F49" w:rsidRDefault="00850F49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134" w:type="dxa"/>
            <w:shd w:val="clear" w:color="auto" w:fill="auto"/>
          </w:tcPr>
          <w:p w:rsidR="00850F49" w:rsidRDefault="00850F49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- 13,0</w:t>
            </w:r>
          </w:p>
        </w:tc>
        <w:tc>
          <w:tcPr>
            <w:tcW w:w="850" w:type="dxa"/>
            <w:shd w:val="clear" w:color="auto" w:fill="auto"/>
          </w:tcPr>
          <w:p w:rsidR="00850F49" w:rsidRDefault="00850F49" w:rsidP="00075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-72,8</w:t>
            </w:r>
          </w:p>
        </w:tc>
        <w:tc>
          <w:tcPr>
            <w:tcW w:w="851" w:type="dxa"/>
            <w:shd w:val="clear" w:color="auto" w:fill="auto"/>
          </w:tcPr>
          <w:p w:rsidR="00850F49" w:rsidRDefault="00850F49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043" w:type="dxa"/>
            <w:shd w:val="clear" w:color="auto" w:fill="auto"/>
          </w:tcPr>
          <w:p w:rsidR="00850F49" w:rsidRDefault="00850F49" w:rsidP="000751FF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3E3A" w:rsidRPr="00633E3A" w:rsidTr="008919E2">
        <w:tc>
          <w:tcPr>
            <w:tcW w:w="2269" w:type="dxa"/>
            <w:shd w:val="clear" w:color="auto" w:fill="auto"/>
          </w:tcPr>
          <w:p w:rsidR="00633E3A" w:rsidRPr="00633E3A" w:rsidRDefault="00633E3A" w:rsidP="00C11C72">
            <w:pPr>
              <w:tabs>
                <w:tab w:val="left" w:pos="1985"/>
              </w:tabs>
              <w:ind w:right="-142"/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Доля</w:t>
            </w:r>
            <w:r w:rsidR="000C596D">
              <w:rPr>
                <w:b/>
                <w:sz w:val="22"/>
                <w:szCs w:val="22"/>
              </w:rPr>
              <w:t xml:space="preserve"> объема муниц</w:t>
            </w:r>
            <w:r w:rsidR="00CE70D7">
              <w:rPr>
                <w:b/>
                <w:sz w:val="22"/>
                <w:szCs w:val="22"/>
              </w:rPr>
              <w:t>и</w:t>
            </w:r>
            <w:r w:rsidR="000C596D">
              <w:rPr>
                <w:b/>
                <w:sz w:val="22"/>
                <w:szCs w:val="22"/>
              </w:rPr>
              <w:t>пального долга</w:t>
            </w:r>
            <w:r w:rsidR="008919E2">
              <w:rPr>
                <w:b/>
                <w:sz w:val="22"/>
                <w:szCs w:val="22"/>
              </w:rPr>
              <w:t xml:space="preserve"> к собствен</w:t>
            </w:r>
            <w:r w:rsidRPr="00633E3A">
              <w:rPr>
                <w:b/>
                <w:sz w:val="22"/>
                <w:szCs w:val="22"/>
              </w:rPr>
              <w:t>ным доходам за минусом доходов</w:t>
            </w:r>
          </w:p>
          <w:p w:rsidR="00633E3A" w:rsidRPr="00633E3A" w:rsidRDefault="008919E2" w:rsidP="003051D7">
            <w:pPr>
              <w:tabs>
                <w:tab w:val="left" w:pos="1985"/>
              </w:tabs>
              <w:ind w:right="-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по дополнитель</w:t>
            </w:r>
            <w:r w:rsidR="00633E3A" w:rsidRPr="00633E3A">
              <w:rPr>
                <w:b/>
                <w:sz w:val="22"/>
                <w:szCs w:val="22"/>
              </w:rPr>
              <w:t>ным нормативам</w:t>
            </w:r>
            <w:r w:rsidR="008B00D5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="008B00D5">
              <w:rPr>
                <w:b/>
                <w:sz w:val="22"/>
                <w:szCs w:val="22"/>
              </w:rPr>
              <w:t>в</w:t>
            </w:r>
            <w:proofErr w:type="gramEnd"/>
            <w:r w:rsidR="008B00D5">
              <w:rPr>
                <w:b/>
                <w:sz w:val="22"/>
                <w:szCs w:val="22"/>
              </w:rPr>
              <w:t xml:space="preserve"> %</w:t>
            </w:r>
            <w:r w:rsidR="005B0D59">
              <w:rPr>
                <w:b/>
                <w:sz w:val="22"/>
                <w:szCs w:val="22"/>
              </w:rPr>
              <w:t xml:space="preserve"> (не </w:t>
            </w:r>
            <w:r w:rsidR="003051D7">
              <w:rPr>
                <w:b/>
                <w:sz w:val="22"/>
                <w:szCs w:val="22"/>
              </w:rPr>
              <w:t>выше</w:t>
            </w:r>
            <w:r w:rsidR="00633E3A" w:rsidRPr="00633E3A">
              <w:rPr>
                <w:b/>
                <w:sz w:val="22"/>
                <w:szCs w:val="22"/>
              </w:rPr>
              <w:t xml:space="preserve"> 10</w:t>
            </w:r>
            <w:r w:rsidR="008B00D5">
              <w:rPr>
                <w:b/>
                <w:sz w:val="22"/>
                <w:szCs w:val="22"/>
              </w:rPr>
              <w:t>0</w:t>
            </w:r>
            <w:r w:rsidR="00633E3A" w:rsidRPr="00633E3A">
              <w:rPr>
                <w:b/>
                <w:sz w:val="22"/>
                <w:szCs w:val="22"/>
              </w:rPr>
              <w:t xml:space="preserve"> %)</w:t>
            </w:r>
          </w:p>
        </w:tc>
        <w:tc>
          <w:tcPr>
            <w:tcW w:w="1276" w:type="dxa"/>
            <w:shd w:val="clear" w:color="auto" w:fill="auto"/>
          </w:tcPr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722507" w:rsidP="00E22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1275" w:type="dxa"/>
          </w:tcPr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722507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  <w:tc>
          <w:tcPr>
            <w:tcW w:w="993" w:type="dxa"/>
          </w:tcPr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722507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134" w:type="dxa"/>
            <w:shd w:val="clear" w:color="auto" w:fill="auto"/>
          </w:tcPr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722507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- 5,1 </w:t>
            </w:r>
            <w:proofErr w:type="spellStart"/>
            <w:r w:rsidR="009D70CF">
              <w:rPr>
                <w:sz w:val="22"/>
                <w:szCs w:val="22"/>
              </w:rPr>
              <w:t>п</w:t>
            </w:r>
            <w:r w:rsidR="00633E3A" w:rsidRPr="00633E3A">
              <w:rPr>
                <w:sz w:val="22"/>
                <w:szCs w:val="22"/>
              </w:rPr>
              <w:t>.п</w:t>
            </w:r>
            <w:proofErr w:type="spellEnd"/>
            <w:r w:rsidR="00633E3A" w:rsidRPr="00633E3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722507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- 8,6</w:t>
            </w:r>
          </w:p>
        </w:tc>
        <w:tc>
          <w:tcPr>
            <w:tcW w:w="851" w:type="dxa"/>
            <w:shd w:val="clear" w:color="auto" w:fill="auto"/>
          </w:tcPr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722507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043" w:type="dxa"/>
            <w:shd w:val="clear" w:color="auto" w:fill="auto"/>
          </w:tcPr>
          <w:p w:rsidR="00E225D0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Default="00E225D0" w:rsidP="000C596D">
            <w:pPr>
              <w:ind w:left="222"/>
              <w:jc w:val="center"/>
              <w:rPr>
                <w:sz w:val="22"/>
                <w:szCs w:val="22"/>
              </w:rPr>
            </w:pPr>
          </w:p>
          <w:p w:rsidR="00633E3A" w:rsidRPr="00633E3A" w:rsidRDefault="00722507" w:rsidP="000C596D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</w:tr>
      <w:tr w:rsidR="00633E3A" w:rsidRPr="00633E3A" w:rsidTr="008919E2">
        <w:tc>
          <w:tcPr>
            <w:tcW w:w="2269" w:type="dxa"/>
            <w:shd w:val="clear" w:color="auto" w:fill="auto"/>
          </w:tcPr>
          <w:p w:rsidR="00633E3A" w:rsidRPr="00633E3A" w:rsidRDefault="00633E3A" w:rsidP="00DF4ED1">
            <w:pPr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Расходы на обслуживание муниципального долга</w:t>
            </w:r>
            <w:r w:rsidR="003051D7">
              <w:rPr>
                <w:b/>
                <w:sz w:val="22"/>
                <w:szCs w:val="22"/>
              </w:rPr>
              <w:t xml:space="preserve"> (млн. руб.)</w:t>
            </w:r>
          </w:p>
        </w:tc>
        <w:tc>
          <w:tcPr>
            <w:tcW w:w="1276" w:type="dxa"/>
            <w:shd w:val="clear" w:color="auto" w:fill="auto"/>
          </w:tcPr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225D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176,1</w:t>
            </w:r>
          </w:p>
        </w:tc>
        <w:tc>
          <w:tcPr>
            <w:tcW w:w="1275" w:type="dxa"/>
          </w:tcPr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225D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176,1</w:t>
            </w:r>
          </w:p>
        </w:tc>
        <w:tc>
          <w:tcPr>
            <w:tcW w:w="993" w:type="dxa"/>
          </w:tcPr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225D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</w:t>
            </w:r>
          </w:p>
        </w:tc>
        <w:tc>
          <w:tcPr>
            <w:tcW w:w="1134" w:type="dxa"/>
            <w:shd w:val="clear" w:color="auto" w:fill="auto"/>
          </w:tcPr>
          <w:p w:rsidR="00E225D0" w:rsidRDefault="00E225D0" w:rsidP="003D5B90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3D5B90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225D0" w:rsidP="003D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+ 9,1</w:t>
            </w:r>
          </w:p>
        </w:tc>
        <w:tc>
          <w:tcPr>
            <w:tcW w:w="850" w:type="dxa"/>
            <w:shd w:val="clear" w:color="auto" w:fill="auto"/>
          </w:tcPr>
          <w:p w:rsidR="00E225D0" w:rsidRDefault="00E225D0" w:rsidP="003D5B90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3D5B90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225D0" w:rsidP="003D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+ 5,2</w:t>
            </w:r>
          </w:p>
        </w:tc>
        <w:tc>
          <w:tcPr>
            <w:tcW w:w="851" w:type="dxa"/>
            <w:shd w:val="clear" w:color="auto" w:fill="auto"/>
          </w:tcPr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225D0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219,9</w:t>
            </w:r>
          </w:p>
        </w:tc>
        <w:tc>
          <w:tcPr>
            <w:tcW w:w="1043" w:type="dxa"/>
            <w:shd w:val="clear" w:color="auto" w:fill="auto"/>
          </w:tcPr>
          <w:p w:rsidR="00E225D0" w:rsidRDefault="00E225D0" w:rsidP="00C57D99">
            <w:pPr>
              <w:ind w:left="222"/>
              <w:jc w:val="center"/>
              <w:rPr>
                <w:sz w:val="22"/>
                <w:szCs w:val="22"/>
              </w:rPr>
            </w:pPr>
          </w:p>
          <w:p w:rsidR="00E225D0" w:rsidRDefault="00E225D0" w:rsidP="00C57D99">
            <w:pPr>
              <w:ind w:left="222"/>
              <w:jc w:val="center"/>
              <w:rPr>
                <w:sz w:val="22"/>
                <w:szCs w:val="22"/>
              </w:rPr>
            </w:pPr>
          </w:p>
          <w:p w:rsidR="00633E3A" w:rsidRPr="00633E3A" w:rsidRDefault="00E225D0" w:rsidP="00C57D99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219,3</w:t>
            </w:r>
          </w:p>
        </w:tc>
      </w:tr>
      <w:tr w:rsidR="00633E3A" w:rsidRPr="00633E3A" w:rsidTr="008919E2">
        <w:tc>
          <w:tcPr>
            <w:tcW w:w="2269" w:type="dxa"/>
            <w:shd w:val="clear" w:color="auto" w:fill="auto"/>
          </w:tcPr>
          <w:p w:rsidR="00633E3A" w:rsidRPr="00633E3A" w:rsidRDefault="00633E3A" w:rsidP="004F046D">
            <w:pPr>
              <w:ind w:right="-155"/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>Доля расходов на обслуживание муниципального долга</w:t>
            </w:r>
            <w:r w:rsidR="008B00D5">
              <w:rPr>
                <w:b/>
                <w:sz w:val="22"/>
                <w:szCs w:val="22"/>
              </w:rPr>
              <w:t>, в %</w:t>
            </w:r>
            <w:r w:rsidRPr="00633E3A">
              <w:rPr>
                <w:b/>
                <w:sz w:val="22"/>
                <w:szCs w:val="22"/>
              </w:rPr>
              <w:t xml:space="preserve"> (предельное значение 15 % расходов за исключением субвенций)</w:t>
            </w:r>
          </w:p>
        </w:tc>
        <w:tc>
          <w:tcPr>
            <w:tcW w:w="1276" w:type="dxa"/>
            <w:shd w:val="clear" w:color="auto" w:fill="auto"/>
          </w:tcPr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0043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75" w:type="dxa"/>
          </w:tcPr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0043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93" w:type="dxa"/>
          </w:tcPr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0043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  <w:shd w:val="clear" w:color="auto" w:fill="auto"/>
          </w:tcPr>
          <w:p w:rsidR="00E00435" w:rsidRDefault="00E00435" w:rsidP="00E00435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E00435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E00435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E00435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E00435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E00435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E00435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3F5B0B" w:rsidP="00E00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E00435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E00435" w:rsidRDefault="00E00435" w:rsidP="003F5B0B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3F5B0B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3F5B0B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3F5B0B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3F5B0B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3F5B0B">
            <w:pPr>
              <w:jc w:val="center"/>
              <w:rPr>
                <w:sz w:val="22"/>
                <w:szCs w:val="22"/>
              </w:rPr>
            </w:pPr>
          </w:p>
          <w:p w:rsidR="003D55DC" w:rsidRDefault="003D55DC" w:rsidP="003D55DC">
            <w:pPr>
              <w:rPr>
                <w:sz w:val="22"/>
                <w:szCs w:val="22"/>
              </w:rPr>
            </w:pPr>
          </w:p>
          <w:p w:rsidR="00633E3A" w:rsidRPr="00633E3A" w:rsidRDefault="003D55DC" w:rsidP="003D5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E00435">
              <w:rPr>
                <w:sz w:val="22"/>
                <w:szCs w:val="22"/>
              </w:rPr>
              <w:t>4</w:t>
            </w:r>
            <w:r w:rsidR="00235E6E">
              <w:rPr>
                <w:sz w:val="22"/>
                <w:szCs w:val="22"/>
              </w:rPr>
              <w:t>,0</w:t>
            </w:r>
            <w:r w:rsidR="00E0043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0043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043" w:type="dxa"/>
            <w:shd w:val="clear" w:color="auto" w:fill="auto"/>
          </w:tcPr>
          <w:p w:rsidR="00E00435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</w:p>
          <w:p w:rsidR="00633E3A" w:rsidRPr="00633E3A" w:rsidRDefault="00E00435" w:rsidP="003D5B90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633E3A" w:rsidRPr="00633E3A" w:rsidTr="008919E2">
        <w:tc>
          <w:tcPr>
            <w:tcW w:w="2269" w:type="dxa"/>
            <w:shd w:val="clear" w:color="auto" w:fill="auto"/>
          </w:tcPr>
          <w:p w:rsidR="00633E3A" w:rsidRPr="00633E3A" w:rsidRDefault="00633E3A" w:rsidP="00C11C72">
            <w:pPr>
              <w:ind w:right="-142"/>
              <w:rPr>
                <w:b/>
                <w:sz w:val="22"/>
                <w:szCs w:val="22"/>
              </w:rPr>
            </w:pPr>
            <w:r w:rsidRPr="00633E3A">
              <w:rPr>
                <w:b/>
                <w:sz w:val="22"/>
                <w:szCs w:val="22"/>
              </w:rPr>
              <w:t xml:space="preserve">Объем резервного фонда </w:t>
            </w:r>
            <w:proofErr w:type="spellStart"/>
            <w:proofErr w:type="gramStart"/>
            <w:r w:rsidRPr="00633E3A">
              <w:rPr>
                <w:b/>
                <w:sz w:val="22"/>
                <w:szCs w:val="22"/>
              </w:rPr>
              <w:t>администра-ции</w:t>
            </w:r>
            <w:proofErr w:type="spellEnd"/>
            <w:proofErr w:type="gramEnd"/>
            <w:r w:rsidRPr="00633E3A">
              <w:rPr>
                <w:b/>
                <w:sz w:val="22"/>
                <w:szCs w:val="22"/>
              </w:rPr>
              <w:t xml:space="preserve"> г. Липецка (не более 3% общих расходов)</w:t>
            </w:r>
          </w:p>
        </w:tc>
        <w:tc>
          <w:tcPr>
            <w:tcW w:w="1276" w:type="dxa"/>
            <w:shd w:val="clear" w:color="auto" w:fill="auto"/>
          </w:tcPr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0043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0043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0043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0043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0043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jc w:val="center"/>
              <w:rPr>
                <w:sz w:val="22"/>
                <w:szCs w:val="22"/>
              </w:rPr>
            </w:pPr>
          </w:p>
          <w:p w:rsidR="00633E3A" w:rsidRPr="00633E3A" w:rsidRDefault="00E00435" w:rsidP="00C5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43" w:type="dxa"/>
            <w:shd w:val="clear" w:color="auto" w:fill="auto"/>
          </w:tcPr>
          <w:p w:rsidR="00E00435" w:rsidRDefault="00E00435" w:rsidP="00C57D99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ind w:left="222"/>
              <w:jc w:val="center"/>
              <w:rPr>
                <w:sz w:val="22"/>
                <w:szCs w:val="22"/>
              </w:rPr>
            </w:pPr>
          </w:p>
          <w:p w:rsidR="00E00435" w:rsidRDefault="00E00435" w:rsidP="00C57D99">
            <w:pPr>
              <w:ind w:left="222"/>
              <w:jc w:val="center"/>
              <w:rPr>
                <w:sz w:val="22"/>
                <w:szCs w:val="22"/>
              </w:rPr>
            </w:pPr>
          </w:p>
          <w:p w:rsidR="00633E3A" w:rsidRPr="00633E3A" w:rsidRDefault="00E00435" w:rsidP="00C57D99">
            <w:pPr>
              <w:ind w:left="2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</w:tbl>
    <w:p w:rsidR="00FC2231" w:rsidRPr="00E1607F" w:rsidRDefault="009810BD" w:rsidP="009810BD">
      <w:pPr>
        <w:suppressAutoHyphens/>
        <w:jc w:val="both"/>
        <w:rPr>
          <w:sz w:val="22"/>
          <w:szCs w:val="22"/>
        </w:rPr>
      </w:pPr>
      <w:r w:rsidRPr="00633E3A">
        <w:rPr>
          <w:sz w:val="28"/>
          <w:szCs w:val="28"/>
        </w:rPr>
        <w:tab/>
      </w:r>
      <w:r w:rsidRPr="00633E3A">
        <w:rPr>
          <w:sz w:val="22"/>
          <w:szCs w:val="22"/>
        </w:rPr>
        <w:t>* превышение предельного значения дефицита (10%) является допустимым в соответствии с п. 3 ст. 92.1 БК РФ, так как осуществлено в пределах снижения остатков</w:t>
      </w:r>
      <w:r w:rsidR="00FC2231" w:rsidRPr="00633E3A">
        <w:rPr>
          <w:sz w:val="22"/>
          <w:szCs w:val="22"/>
        </w:rPr>
        <w:t xml:space="preserve"> средств на счете </w:t>
      </w:r>
      <w:r w:rsidR="00FC2231" w:rsidRPr="00FC2231">
        <w:rPr>
          <w:sz w:val="22"/>
          <w:szCs w:val="22"/>
        </w:rPr>
        <w:t>бюджета.</w:t>
      </w:r>
    </w:p>
    <w:p w:rsidR="00E1607F" w:rsidRPr="00015FC2" w:rsidRDefault="00704CE9" w:rsidP="0070211C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10247">
        <w:rPr>
          <w:b/>
          <w:i/>
          <w:color w:val="000000" w:themeColor="text1"/>
          <w:sz w:val="28"/>
          <w:szCs w:val="28"/>
        </w:rPr>
        <w:t>Основные параметры б</w:t>
      </w:r>
      <w:r w:rsidR="00E1607F" w:rsidRPr="00B10247">
        <w:rPr>
          <w:b/>
          <w:i/>
          <w:color w:val="000000" w:themeColor="text1"/>
          <w:sz w:val="28"/>
          <w:szCs w:val="28"/>
        </w:rPr>
        <w:t>юджета</w:t>
      </w:r>
      <w:r w:rsidR="00E1607F" w:rsidRPr="00015FC2">
        <w:rPr>
          <w:color w:val="000000" w:themeColor="text1"/>
          <w:sz w:val="28"/>
          <w:szCs w:val="28"/>
        </w:rPr>
        <w:t xml:space="preserve"> города на 20</w:t>
      </w:r>
      <w:r w:rsidR="00E66A4B" w:rsidRPr="00015FC2">
        <w:rPr>
          <w:color w:val="000000" w:themeColor="text1"/>
          <w:sz w:val="28"/>
          <w:szCs w:val="28"/>
        </w:rPr>
        <w:t>20</w:t>
      </w:r>
      <w:r w:rsidR="00E1607F" w:rsidRPr="00015FC2">
        <w:rPr>
          <w:color w:val="000000" w:themeColor="text1"/>
          <w:sz w:val="28"/>
          <w:szCs w:val="28"/>
        </w:rPr>
        <w:t xml:space="preserve"> год </w:t>
      </w:r>
      <w:r w:rsidR="00D04328" w:rsidRPr="00015FC2">
        <w:rPr>
          <w:color w:val="000000" w:themeColor="text1"/>
          <w:sz w:val="28"/>
          <w:szCs w:val="28"/>
        </w:rPr>
        <w:t>выше</w:t>
      </w:r>
      <w:r w:rsidR="00E1607F" w:rsidRPr="00015FC2">
        <w:rPr>
          <w:color w:val="000000" w:themeColor="text1"/>
          <w:sz w:val="28"/>
          <w:szCs w:val="28"/>
        </w:rPr>
        <w:t xml:space="preserve"> первоначально утвержде</w:t>
      </w:r>
      <w:r w:rsidRPr="00015FC2">
        <w:rPr>
          <w:color w:val="000000" w:themeColor="text1"/>
          <w:sz w:val="28"/>
          <w:szCs w:val="28"/>
        </w:rPr>
        <w:t>нной редакции б</w:t>
      </w:r>
      <w:r w:rsidR="00D04328" w:rsidRPr="00015FC2">
        <w:rPr>
          <w:color w:val="000000" w:themeColor="text1"/>
          <w:sz w:val="28"/>
          <w:szCs w:val="28"/>
        </w:rPr>
        <w:t>юджета</w:t>
      </w:r>
      <w:r w:rsidR="008919E2" w:rsidRPr="00015FC2">
        <w:rPr>
          <w:color w:val="000000" w:themeColor="text1"/>
          <w:sz w:val="28"/>
          <w:szCs w:val="28"/>
        </w:rPr>
        <w:t xml:space="preserve"> на</w:t>
      </w:r>
      <w:r w:rsidR="00D04328" w:rsidRPr="00015FC2">
        <w:rPr>
          <w:color w:val="000000" w:themeColor="text1"/>
          <w:sz w:val="28"/>
          <w:szCs w:val="28"/>
        </w:rPr>
        <w:t xml:space="preserve"> 201</w:t>
      </w:r>
      <w:r w:rsidR="00E66A4B" w:rsidRPr="00015FC2">
        <w:rPr>
          <w:color w:val="000000" w:themeColor="text1"/>
          <w:sz w:val="28"/>
          <w:szCs w:val="28"/>
        </w:rPr>
        <w:t>9</w:t>
      </w:r>
      <w:r w:rsidR="00D04328" w:rsidRPr="00015FC2">
        <w:rPr>
          <w:color w:val="000000" w:themeColor="text1"/>
          <w:sz w:val="28"/>
          <w:szCs w:val="28"/>
        </w:rPr>
        <w:t xml:space="preserve"> год </w:t>
      </w:r>
      <w:r w:rsidR="000C596D" w:rsidRPr="00015FC2">
        <w:rPr>
          <w:color w:val="000000" w:themeColor="text1"/>
          <w:sz w:val="28"/>
          <w:szCs w:val="28"/>
        </w:rPr>
        <w:t xml:space="preserve">на </w:t>
      </w:r>
      <w:r w:rsidR="00E66A4B" w:rsidRPr="00015FC2">
        <w:rPr>
          <w:color w:val="000000" w:themeColor="text1"/>
          <w:sz w:val="28"/>
          <w:szCs w:val="28"/>
        </w:rPr>
        <w:t>3,7</w:t>
      </w:r>
      <w:r w:rsidR="00D04328" w:rsidRPr="00015FC2">
        <w:rPr>
          <w:color w:val="000000" w:themeColor="text1"/>
          <w:sz w:val="28"/>
          <w:szCs w:val="28"/>
        </w:rPr>
        <w:t>% по доходам и</w:t>
      </w:r>
      <w:r w:rsidR="00E1607F" w:rsidRPr="00015FC2">
        <w:rPr>
          <w:color w:val="000000" w:themeColor="text1"/>
          <w:sz w:val="28"/>
          <w:szCs w:val="28"/>
        </w:rPr>
        <w:t xml:space="preserve"> на </w:t>
      </w:r>
      <w:r w:rsidR="00E66A4B" w:rsidRPr="00015FC2">
        <w:rPr>
          <w:color w:val="000000" w:themeColor="text1"/>
          <w:sz w:val="28"/>
          <w:szCs w:val="28"/>
        </w:rPr>
        <w:t>4</w:t>
      </w:r>
      <w:r w:rsidR="008919E2" w:rsidRPr="00015FC2">
        <w:rPr>
          <w:color w:val="000000" w:themeColor="text1"/>
          <w:sz w:val="28"/>
          <w:szCs w:val="28"/>
        </w:rPr>
        <w:t>,4% по расходам.</w:t>
      </w:r>
      <w:r w:rsidR="00E1607F" w:rsidRPr="00015FC2">
        <w:rPr>
          <w:color w:val="000000" w:themeColor="text1"/>
          <w:sz w:val="28"/>
          <w:szCs w:val="28"/>
        </w:rPr>
        <w:t xml:space="preserve"> </w:t>
      </w:r>
      <w:r w:rsidR="008D215F" w:rsidRPr="00015FC2">
        <w:rPr>
          <w:color w:val="000000" w:themeColor="text1"/>
          <w:sz w:val="28"/>
          <w:szCs w:val="28"/>
        </w:rPr>
        <w:t>В</w:t>
      </w:r>
      <w:r w:rsidR="00E1607F" w:rsidRPr="00015FC2">
        <w:rPr>
          <w:color w:val="000000" w:themeColor="text1"/>
          <w:sz w:val="28"/>
          <w:szCs w:val="28"/>
        </w:rPr>
        <w:t xml:space="preserve"> сравнении с ут</w:t>
      </w:r>
      <w:r w:rsidR="00D04328" w:rsidRPr="00015FC2">
        <w:rPr>
          <w:color w:val="000000" w:themeColor="text1"/>
          <w:sz w:val="28"/>
          <w:szCs w:val="28"/>
        </w:rPr>
        <w:t>очненным</w:t>
      </w:r>
      <w:r w:rsidRPr="00015FC2">
        <w:rPr>
          <w:color w:val="000000" w:themeColor="text1"/>
          <w:sz w:val="28"/>
          <w:szCs w:val="28"/>
        </w:rPr>
        <w:t xml:space="preserve"> б</w:t>
      </w:r>
      <w:r w:rsidR="00E1607F" w:rsidRPr="00015FC2">
        <w:rPr>
          <w:color w:val="000000" w:themeColor="text1"/>
          <w:sz w:val="28"/>
          <w:szCs w:val="28"/>
        </w:rPr>
        <w:t>юджетом</w:t>
      </w:r>
      <w:r w:rsidR="008919E2" w:rsidRPr="00015FC2">
        <w:rPr>
          <w:color w:val="000000" w:themeColor="text1"/>
          <w:sz w:val="28"/>
          <w:szCs w:val="28"/>
        </w:rPr>
        <w:t xml:space="preserve"> на</w:t>
      </w:r>
      <w:r w:rsidR="00E1607F" w:rsidRPr="00015FC2">
        <w:rPr>
          <w:color w:val="000000" w:themeColor="text1"/>
          <w:sz w:val="28"/>
          <w:szCs w:val="28"/>
        </w:rPr>
        <w:t xml:space="preserve"> 201</w:t>
      </w:r>
      <w:r w:rsidR="00E66A4B" w:rsidRPr="00015FC2">
        <w:rPr>
          <w:color w:val="000000" w:themeColor="text1"/>
          <w:sz w:val="28"/>
          <w:szCs w:val="28"/>
        </w:rPr>
        <w:t>9</w:t>
      </w:r>
      <w:r w:rsidR="008919E2" w:rsidRPr="00015FC2">
        <w:rPr>
          <w:color w:val="000000" w:themeColor="text1"/>
          <w:sz w:val="28"/>
          <w:szCs w:val="28"/>
        </w:rPr>
        <w:t xml:space="preserve"> год</w:t>
      </w:r>
      <w:r w:rsidR="00E1607F" w:rsidRPr="00015FC2">
        <w:rPr>
          <w:color w:val="000000" w:themeColor="text1"/>
          <w:sz w:val="28"/>
          <w:szCs w:val="28"/>
        </w:rPr>
        <w:t xml:space="preserve">, доходы планируются на уровне </w:t>
      </w:r>
      <w:r w:rsidR="00E66A4B" w:rsidRPr="00015FC2">
        <w:rPr>
          <w:color w:val="000000" w:themeColor="text1"/>
          <w:sz w:val="28"/>
          <w:szCs w:val="28"/>
        </w:rPr>
        <w:t>78,6</w:t>
      </w:r>
      <w:r w:rsidR="00E1607F" w:rsidRPr="00015FC2">
        <w:rPr>
          <w:color w:val="000000" w:themeColor="text1"/>
          <w:sz w:val="28"/>
          <w:szCs w:val="28"/>
        </w:rPr>
        <w:t xml:space="preserve">%, а расходы на уровне </w:t>
      </w:r>
      <w:r w:rsidR="00E66A4B" w:rsidRPr="00015FC2">
        <w:rPr>
          <w:color w:val="000000" w:themeColor="text1"/>
          <w:sz w:val="28"/>
          <w:szCs w:val="28"/>
        </w:rPr>
        <w:t>77,2</w:t>
      </w:r>
      <w:r w:rsidR="00E1607F" w:rsidRPr="00015FC2">
        <w:rPr>
          <w:color w:val="000000" w:themeColor="text1"/>
          <w:sz w:val="28"/>
          <w:szCs w:val="28"/>
        </w:rPr>
        <w:t xml:space="preserve">%. </w:t>
      </w:r>
      <w:r w:rsidR="00D96CE9">
        <w:rPr>
          <w:color w:val="000000" w:themeColor="text1"/>
          <w:sz w:val="28"/>
          <w:szCs w:val="28"/>
        </w:rPr>
        <w:t>Н</w:t>
      </w:r>
      <w:r w:rsidR="00E1607F" w:rsidRPr="00015FC2">
        <w:rPr>
          <w:color w:val="000000" w:themeColor="text1"/>
          <w:sz w:val="28"/>
          <w:szCs w:val="28"/>
        </w:rPr>
        <w:t>а</w:t>
      </w:r>
      <w:r w:rsidR="00D96CE9">
        <w:rPr>
          <w:color w:val="000000" w:themeColor="text1"/>
          <w:sz w:val="28"/>
          <w:szCs w:val="28"/>
        </w:rPr>
        <w:t xml:space="preserve"> период</w:t>
      </w:r>
      <w:r w:rsidR="00E1607F" w:rsidRPr="00015FC2">
        <w:rPr>
          <w:color w:val="000000" w:themeColor="text1"/>
          <w:sz w:val="28"/>
          <w:szCs w:val="28"/>
        </w:rPr>
        <w:t xml:space="preserve"> 202</w:t>
      </w:r>
      <w:r w:rsidR="00E66A4B" w:rsidRPr="00015FC2">
        <w:rPr>
          <w:color w:val="000000" w:themeColor="text1"/>
          <w:sz w:val="28"/>
          <w:szCs w:val="28"/>
        </w:rPr>
        <w:t>1</w:t>
      </w:r>
      <w:r w:rsidR="00E1607F" w:rsidRPr="00015FC2">
        <w:rPr>
          <w:color w:val="000000" w:themeColor="text1"/>
          <w:sz w:val="28"/>
          <w:szCs w:val="28"/>
        </w:rPr>
        <w:t xml:space="preserve"> </w:t>
      </w:r>
      <w:r w:rsidR="00D96CE9">
        <w:rPr>
          <w:color w:val="000000" w:themeColor="text1"/>
          <w:sz w:val="28"/>
          <w:szCs w:val="28"/>
        </w:rPr>
        <w:t xml:space="preserve">- </w:t>
      </w:r>
      <w:r w:rsidR="00E1607F" w:rsidRPr="00015FC2">
        <w:rPr>
          <w:color w:val="000000" w:themeColor="text1"/>
          <w:sz w:val="28"/>
          <w:szCs w:val="28"/>
        </w:rPr>
        <w:t>202</w:t>
      </w:r>
      <w:r w:rsidR="00E66A4B" w:rsidRPr="00015FC2">
        <w:rPr>
          <w:color w:val="000000" w:themeColor="text1"/>
          <w:sz w:val="28"/>
          <w:szCs w:val="28"/>
        </w:rPr>
        <w:t>2</w:t>
      </w:r>
      <w:r w:rsidR="00E1607F" w:rsidRPr="00015FC2">
        <w:rPr>
          <w:color w:val="000000" w:themeColor="text1"/>
          <w:sz w:val="28"/>
          <w:szCs w:val="28"/>
        </w:rPr>
        <w:t xml:space="preserve"> год</w:t>
      </w:r>
      <w:r w:rsidR="00D96CE9">
        <w:rPr>
          <w:color w:val="000000" w:themeColor="text1"/>
          <w:sz w:val="28"/>
          <w:szCs w:val="28"/>
        </w:rPr>
        <w:t>ов</w:t>
      </w:r>
      <w:r w:rsidR="00E1607F" w:rsidRPr="00015FC2">
        <w:rPr>
          <w:color w:val="000000" w:themeColor="text1"/>
          <w:sz w:val="28"/>
          <w:szCs w:val="28"/>
        </w:rPr>
        <w:t xml:space="preserve"> </w:t>
      </w:r>
      <w:r w:rsidR="00D96CE9">
        <w:rPr>
          <w:color w:val="000000" w:themeColor="text1"/>
          <w:sz w:val="28"/>
          <w:szCs w:val="28"/>
        </w:rPr>
        <w:t>прогнозируется</w:t>
      </w:r>
      <w:r w:rsidR="00E1607F" w:rsidRPr="00015FC2">
        <w:rPr>
          <w:color w:val="000000" w:themeColor="text1"/>
          <w:sz w:val="28"/>
          <w:szCs w:val="28"/>
        </w:rPr>
        <w:t xml:space="preserve"> </w:t>
      </w:r>
      <w:r w:rsidR="00C01848" w:rsidRPr="00015FC2">
        <w:rPr>
          <w:color w:val="000000" w:themeColor="text1"/>
          <w:sz w:val="28"/>
          <w:szCs w:val="28"/>
        </w:rPr>
        <w:t>снижение основных параметров бюджета.</w:t>
      </w:r>
    </w:p>
    <w:p w:rsidR="00E1607F" w:rsidRPr="009F7E47" w:rsidRDefault="00422D94" w:rsidP="007C44B7">
      <w:pPr>
        <w:suppressAutoHyphens/>
        <w:ind w:firstLine="709"/>
        <w:jc w:val="both"/>
        <w:rPr>
          <w:sz w:val="28"/>
          <w:szCs w:val="28"/>
        </w:rPr>
      </w:pPr>
      <w:r w:rsidRPr="00B10247">
        <w:rPr>
          <w:b/>
          <w:i/>
          <w:sz w:val="28"/>
          <w:szCs w:val="28"/>
        </w:rPr>
        <w:t>Дефицит</w:t>
      </w:r>
      <w:r w:rsidRPr="009F7E47">
        <w:rPr>
          <w:sz w:val="28"/>
          <w:szCs w:val="28"/>
        </w:rPr>
        <w:t xml:space="preserve"> бюджета на 20</w:t>
      </w:r>
      <w:r w:rsidR="00E66A4B">
        <w:rPr>
          <w:sz w:val="28"/>
          <w:szCs w:val="28"/>
        </w:rPr>
        <w:t>20</w:t>
      </w:r>
      <w:r w:rsidRPr="009F7E47">
        <w:rPr>
          <w:sz w:val="28"/>
          <w:szCs w:val="28"/>
        </w:rPr>
        <w:t xml:space="preserve"> год планируется в объеме </w:t>
      </w:r>
      <w:r w:rsidR="00E1607F">
        <w:rPr>
          <w:sz w:val="28"/>
          <w:szCs w:val="28"/>
        </w:rPr>
        <w:t>3</w:t>
      </w:r>
      <w:r w:rsidR="00E66A4B">
        <w:rPr>
          <w:sz w:val="28"/>
          <w:szCs w:val="28"/>
        </w:rPr>
        <w:t>93</w:t>
      </w:r>
      <w:r w:rsidR="00E1607F">
        <w:rPr>
          <w:sz w:val="28"/>
          <w:szCs w:val="28"/>
        </w:rPr>
        <w:t>,</w:t>
      </w:r>
      <w:r w:rsidR="006D7294">
        <w:rPr>
          <w:sz w:val="28"/>
          <w:szCs w:val="28"/>
        </w:rPr>
        <w:t>8</w:t>
      </w:r>
      <w:r w:rsidRPr="009F7E47">
        <w:rPr>
          <w:sz w:val="28"/>
          <w:szCs w:val="28"/>
        </w:rPr>
        <w:t xml:space="preserve"> млн. руб. или </w:t>
      </w:r>
      <w:r w:rsidR="00E66A4B">
        <w:rPr>
          <w:sz w:val="28"/>
          <w:szCs w:val="28"/>
        </w:rPr>
        <w:t>8</w:t>
      </w:r>
      <w:r w:rsidR="00E1607F">
        <w:rPr>
          <w:sz w:val="28"/>
          <w:szCs w:val="28"/>
        </w:rPr>
        <w:t>,</w:t>
      </w:r>
      <w:r w:rsidR="006D7294">
        <w:rPr>
          <w:sz w:val="28"/>
          <w:szCs w:val="28"/>
        </w:rPr>
        <w:t>5</w:t>
      </w:r>
      <w:r w:rsidRPr="009F7E47">
        <w:rPr>
          <w:sz w:val="28"/>
          <w:szCs w:val="28"/>
        </w:rPr>
        <w:t>%</w:t>
      </w:r>
      <w:r w:rsidR="008C74F2" w:rsidRPr="009F7E47">
        <w:rPr>
          <w:sz w:val="28"/>
          <w:szCs w:val="28"/>
        </w:rPr>
        <w:t xml:space="preserve"> от общего объема собственных доходов без учета </w:t>
      </w:r>
      <w:r w:rsidR="0023198B" w:rsidRPr="009F7E47">
        <w:rPr>
          <w:sz w:val="28"/>
          <w:szCs w:val="28"/>
        </w:rPr>
        <w:t xml:space="preserve">поступлений по дополнительным нормативам отчислений, </w:t>
      </w:r>
      <w:r w:rsidR="00285C80" w:rsidRPr="009F7E47">
        <w:rPr>
          <w:sz w:val="28"/>
          <w:szCs w:val="28"/>
        </w:rPr>
        <w:t>что</w:t>
      </w:r>
      <w:r w:rsidR="00E1607F">
        <w:rPr>
          <w:sz w:val="28"/>
          <w:szCs w:val="28"/>
        </w:rPr>
        <w:t xml:space="preserve"> не</w:t>
      </w:r>
      <w:r w:rsidR="00285C80" w:rsidRPr="009F7E47">
        <w:rPr>
          <w:sz w:val="28"/>
          <w:szCs w:val="28"/>
        </w:rPr>
        <w:t xml:space="preserve"> превышает</w:t>
      </w:r>
      <w:r w:rsidR="0023198B" w:rsidRPr="009F7E47">
        <w:rPr>
          <w:sz w:val="28"/>
          <w:szCs w:val="28"/>
        </w:rPr>
        <w:t xml:space="preserve"> предельн</w:t>
      </w:r>
      <w:r w:rsidR="009F7E47" w:rsidRPr="009F7E47">
        <w:rPr>
          <w:sz w:val="28"/>
          <w:szCs w:val="28"/>
        </w:rPr>
        <w:t>ое</w:t>
      </w:r>
      <w:r w:rsidR="00A91419">
        <w:rPr>
          <w:sz w:val="28"/>
          <w:szCs w:val="28"/>
        </w:rPr>
        <w:t xml:space="preserve"> десятипроцентное</w:t>
      </w:r>
      <w:r w:rsidR="009F7E47" w:rsidRPr="009F7E47">
        <w:rPr>
          <w:sz w:val="28"/>
          <w:szCs w:val="28"/>
        </w:rPr>
        <w:t xml:space="preserve"> </w:t>
      </w:r>
      <w:r w:rsidR="00285C80" w:rsidRPr="009F7E47">
        <w:rPr>
          <w:sz w:val="28"/>
          <w:szCs w:val="28"/>
        </w:rPr>
        <w:t>значени</w:t>
      </w:r>
      <w:r w:rsidR="009F7E47" w:rsidRPr="009F7E47">
        <w:rPr>
          <w:sz w:val="28"/>
          <w:szCs w:val="28"/>
        </w:rPr>
        <w:t xml:space="preserve">е, </w:t>
      </w:r>
      <w:r w:rsidR="00E1607F">
        <w:rPr>
          <w:sz w:val="28"/>
          <w:szCs w:val="28"/>
        </w:rPr>
        <w:t>установленное</w:t>
      </w:r>
      <w:r w:rsidR="00285C80" w:rsidRPr="009F7E47">
        <w:rPr>
          <w:sz w:val="28"/>
          <w:szCs w:val="28"/>
        </w:rPr>
        <w:t xml:space="preserve"> ст. 92.</w:t>
      </w:r>
      <w:r w:rsidR="0023198B" w:rsidRPr="009F7E47">
        <w:rPr>
          <w:sz w:val="28"/>
          <w:szCs w:val="28"/>
        </w:rPr>
        <w:t>1 БК РФ.  На 20</w:t>
      </w:r>
      <w:r w:rsidR="00E1607F">
        <w:rPr>
          <w:sz w:val="28"/>
          <w:szCs w:val="28"/>
        </w:rPr>
        <w:t>2</w:t>
      </w:r>
      <w:r w:rsidR="00E66A4B">
        <w:rPr>
          <w:sz w:val="28"/>
          <w:szCs w:val="28"/>
        </w:rPr>
        <w:t>1</w:t>
      </w:r>
      <w:r w:rsidR="0023198B" w:rsidRPr="009F7E47">
        <w:rPr>
          <w:sz w:val="28"/>
          <w:szCs w:val="28"/>
        </w:rPr>
        <w:t xml:space="preserve"> и 20</w:t>
      </w:r>
      <w:r w:rsidR="009F7E47" w:rsidRPr="009F7E47">
        <w:rPr>
          <w:sz w:val="28"/>
          <w:szCs w:val="28"/>
        </w:rPr>
        <w:t>2</w:t>
      </w:r>
      <w:r w:rsidR="00E66A4B">
        <w:rPr>
          <w:sz w:val="28"/>
          <w:szCs w:val="28"/>
        </w:rPr>
        <w:t>2</w:t>
      </w:r>
      <w:r w:rsidR="0023198B" w:rsidRPr="009F7E47">
        <w:rPr>
          <w:sz w:val="28"/>
          <w:szCs w:val="28"/>
        </w:rPr>
        <w:t xml:space="preserve"> годы прогнозируется </w:t>
      </w:r>
      <w:r w:rsidR="009F7E47" w:rsidRPr="009F7E47">
        <w:rPr>
          <w:sz w:val="28"/>
          <w:szCs w:val="28"/>
        </w:rPr>
        <w:t>бездефицитный бюджет</w:t>
      </w:r>
      <w:r w:rsidR="0023198B" w:rsidRPr="009F7E47">
        <w:rPr>
          <w:sz w:val="28"/>
          <w:szCs w:val="28"/>
        </w:rPr>
        <w:t>.</w:t>
      </w:r>
    </w:p>
    <w:p w:rsidR="00063115" w:rsidRPr="007C44B7" w:rsidRDefault="00EC38CE" w:rsidP="0070211C">
      <w:pPr>
        <w:suppressAutoHyphens/>
        <w:ind w:firstLine="709"/>
        <w:jc w:val="both"/>
        <w:rPr>
          <w:sz w:val="28"/>
          <w:szCs w:val="28"/>
        </w:rPr>
      </w:pPr>
      <w:r w:rsidRPr="00B10247">
        <w:rPr>
          <w:b/>
          <w:i/>
          <w:sz w:val="28"/>
          <w:szCs w:val="28"/>
        </w:rPr>
        <w:t>Источником погашения дефицита</w:t>
      </w:r>
      <w:r w:rsidRPr="007C44B7">
        <w:rPr>
          <w:sz w:val="28"/>
          <w:szCs w:val="28"/>
        </w:rPr>
        <w:t xml:space="preserve"> в 20</w:t>
      </w:r>
      <w:r w:rsidR="00E66A4B">
        <w:rPr>
          <w:sz w:val="28"/>
          <w:szCs w:val="28"/>
        </w:rPr>
        <w:t>20</w:t>
      </w:r>
      <w:r w:rsidRPr="007C44B7">
        <w:rPr>
          <w:sz w:val="28"/>
          <w:szCs w:val="28"/>
        </w:rPr>
        <w:t xml:space="preserve"> году</w:t>
      </w:r>
      <w:r w:rsidR="006374A8">
        <w:rPr>
          <w:sz w:val="28"/>
          <w:szCs w:val="28"/>
        </w:rPr>
        <w:t xml:space="preserve"> </w:t>
      </w:r>
      <w:r w:rsidRPr="007C44B7">
        <w:rPr>
          <w:sz w:val="28"/>
          <w:szCs w:val="28"/>
        </w:rPr>
        <w:t xml:space="preserve"> будут являться</w:t>
      </w:r>
      <w:r w:rsidR="009F7E47" w:rsidRPr="007C44B7">
        <w:rPr>
          <w:sz w:val="28"/>
          <w:szCs w:val="28"/>
        </w:rPr>
        <w:t xml:space="preserve"> </w:t>
      </w:r>
      <w:r w:rsidRPr="007C44B7">
        <w:rPr>
          <w:sz w:val="28"/>
          <w:szCs w:val="28"/>
        </w:rPr>
        <w:t>заемные средства</w:t>
      </w:r>
      <w:r w:rsidR="00A91419" w:rsidRPr="007C44B7">
        <w:rPr>
          <w:sz w:val="28"/>
          <w:szCs w:val="28"/>
        </w:rPr>
        <w:t xml:space="preserve"> (</w:t>
      </w:r>
      <w:r w:rsidR="00102E73">
        <w:rPr>
          <w:sz w:val="28"/>
          <w:szCs w:val="28"/>
        </w:rPr>
        <w:t>300 млн. руб.</w:t>
      </w:r>
      <w:r w:rsidR="009F7E47" w:rsidRPr="007C44B7">
        <w:rPr>
          <w:sz w:val="28"/>
          <w:szCs w:val="28"/>
        </w:rPr>
        <w:t>)</w:t>
      </w:r>
      <w:r w:rsidR="00E66A4B">
        <w:rPr>
          <w:sz w:val="28"/>
          <w:szCs w:val="28"/>
        </w:rPr>
        <w:t xml:space="preserve"> </w:t>
      </w:r>
      <w:r w:rsidR="009F7E47" w:rsidRPr="007C44B7">
        <w:rPr>
          <w:sz w:val="28"/>
          <w:szCs w:val="28"/>
        </w:rPr>
        <w:t xml:space="preserve">и </w:t>
      </w:r>
      <w:r w:rsidRPr="007C44B7">
        <w:rPr>
          <w:sz w:val="28"/>
          <w:szCs w:val="28"/>
        </w:rPr>
        <w:t xml:space="preserve"> остатки средств на счет</w:t>
      </w:r>
      <w:r w:rsidR="008919E2">
        <w:rPr>
          <w:sz w:val="28"/>
          <w:szCs w:val="28"/>
        </w:rPr>
        <w:t>ах</w:t>
      </w:r>
      <w:r w:rsidRPr="007C44B7">
        <w:rPr>
          <w:sz w:val="28"/>
          <w:szCs w:val="28"/>
        </w:rPr>
        <w:t xml:space="preserve"> бюджета</w:t>
      </w:r>
      <w:r w:rsidR="00A91419" w:rsidRPr="007C44B7">
        <w:rPr>
          <w:sz w:val="28"/>
          <w:szCs w:val="28"/>
        </w:rPr>
        <w:t xml:space="preserve"> (</w:t>
      </w:r>
      <w:r w:rsidR="00E66A4B">
        <w:rPr>
          <w:sz w:val="28"/>
          <w:szCs w:val="28"/>
        </w:rPr>
        <w:t>93,8</w:t>
      </w:r>
      <w:r w:rsidR="009F7E47" w:rsidRPr="007C44B7">
        <w:rPr>
          <w:sz w:val="28"/>
          <w:szCs w:val="28"/>
        </w:rPr>
        <w:t xml:space="preserve"> м</w:t>
      </w:r>
      <w:r w:rsidR="00A91419" w:rsidRPr="007C44B7">
        <w:rPr>
          <w:sz w:val="28"/>
          <w:szCs w:val="28"/>
        </w:rPr>
        <w:t>лн. руб.</w:t>
      </w:r>
      <w:r w:rsidR="009F7E47" w:rsidRPr="007C44B7">
        <w:rPr>
          <w:sz w:val="28"/>
          <w:szCs w:val="28"/>
        </w:rPr>
        <w:t>)</w:t>
      </w:r>
      <w:r w:rsidRPr="007C44B7">
        <w:rPr>
          <w:sz w:val="28"/>
          <w:szCs w:val="28"/>
        </w:rPr>
        <w:t>.</w:t>
      </w:r>
    </w:p>
    <w:p w:rsidR="007F3084" w:rsidRDefault="0091350F" w:rsidP="0070211C">
      <w:pPr>
        <w:suppressAutoHyphens/>
        <w:ind w:firstLine="709"/>
        <w:jc w:val="both"/>
        <w:rPr>
          <w:sz w:val="28"/>
          <w:szCs w:val="28"/>
        </w:rPr>
      </w:pPr>
      <w:r w:rsidRPr="00B10247">
        <w:rPr>
          <w:b/>
          <w:i/>
          <w:sz w:val="28"/>
          <w:szCs w:val="28"/>
        </w:rPr>
        <w:lastRenderedPageBreak/>
        <w:t>З</w:t>
      </w:r>
      <w:r w:rsidR="007F3084" w:rsidRPr="00B10247">
        <w:rPr>
          <w:b/>
          <w:i/>
          <w:sz w:val="28"/>
          <w:szCs w:val="28"/>
        </w:rPr>
        <w:t>начения объема муниципального</w:t>
      </w:r>
      <w:r w:rsidR="007F3084" w:rsidRPr="007C44B7">
        <w:rPr>
          <w:sz w:val="28"/>
          <w:szCs w:val="28"/>
        </w:rPr>
        <w:t xml:space="preserve"> долга и расходов на обслуживание муниципального долга не превышают предельных значений</w:t>
      </w:r>
      <w:r w:rsidR="00D400D7">
        <w:rPr>
          <w:sz w:val="28"/>
          <w:szCs w:val="28"/>
        </w:rPr>
        <w:t>,</w:t>
      </w:r>
      <w:r w:rsidR="007F3084" w:rsidRPr="007C44B7">
        <w:rPr>
          <w:sz w:val="28"/>
          <w:szCs w:val="28"/>
        </w:rPr>
        <w:t xml:space="preserve"> установленных ст. 107 и ст. 111 Бюджетного кодекса РФ.</w:t>
      </w:r>
    </w:p>
    <w:p w:rsidR="009540DC" w:rsidRDefault="009540DC" w:rsidP="007021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 и структура представленного проекта бюджета в целом соответству</w:t>
      </w:r>
      <w:r w:rsidR="008919E2">
        <w:rPr>
          <w:sz w:val="28"/>
          <w:szCs w:val="28"/>
        </w:rPr>
        <w:t>ю</w:t>
      </w:r>
      <w:r>
        <w:rPr>
          <w:sz w:val="28"/>
          <w:szCs w:val="28"/>
        </w:rPr>
        <w:t>т  требованиям бюджетного законодательства.</w:t>
      </w:r>
    </w:p>
    <w:p w:rsidR="006E16F8" w:rsidRDefault="008261D5" w:rsidP="0070211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02E73">
        <w:rPr>
          <w:sz w:val="28"/>
          <w:szCs w:val="28"/>
        </w:rPr>
        <w:t>В статье 1</w:t>
      </w:r>
      <w:r>
        <w:rPr>
          <w:sz w:val="28"/>
          <w:szCs w:val="28"/>
        </w:rPr>
        <w:t xml:space="preserve"> про</w:t>
      </w:r>
      <w:r w:rsidR="006E16F8">
        <w:rPr>
          <w:sz w:val="28"/>
          <w:szCs w:val="28"/>
        </w:rPr>
        <w:t>екта, в соответствии со ст. 184.</w:t>
      </w:r>
      <w:r>
        <w:rPr>
          <w:sz w:val="28"/>
          <w:szCs w:val="28"/>
        </w:rPr>
        <w:t>1 БК РФ</w:t>
      </w:r>
      <w:r w:rsidR="006E16F8">
        <w:rPr>
          <w:sz w:val="28"/>
          <w:szCs w:val="28"/>
        </w:rPr>
        <w:t xml:space="preserve"> закреплены</w:t>
      </w:r>
      <w:r>
        <w:rPr>
          <w:sz w:val="28"/>
          <w:szCs w:val="28"/>
        </w:rPr>
        <w:t xml:space="preserve"> основные характеристики бюджета, которые являются предметом рассмотрения</w:t>
      </w:r>
      <w:r w:rsidR="00102E73">
        <w:rPr>
          <w:sz w:val="28"/>
          <w:szCs w:val="28"/>
        </w:rPr>
        <w:t xml:space="preserve"> проекта бюджета</w:t>
      </w:r>
      <w:r>
        <w:rPr>
          <w:sz w:val="28"/>
          <w:szCs w:val="28"/>
        </w:rPr>
        <w:t xml:space="preserve"> городским Советом депутатов в первом чтении</w:t>
      </w:r>
      <w:r w:rsidR="00102E73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прогнозируемы</w:t>
      </w:r>
      <w:r w:rsidR="008919E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919E2">
        <w:rPr>
          <w:sz w:val="28"/>
          <w:szCs w:val="28"/>
        </w:rPr>
        <w:t>на</w:t>
      </w:r>
      <w:r>
        <w:rPr>
          <w:sz w:val="28"/>
          <w:szCs w:val="28"/>
        </w:rPr>
        <w:t xml:space="preserve"> очередно</w:t>
      </w:r>
      <w:r w:rsidR="008919E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919E2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="008919E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</w:t>
      </w:r>
      <w:r w:rsidR="008919E2">
        <w:rPr>
          <w:sz w:val="28"/>
          <w:szCs w:val="28"/>
        </w:rPr>
        <w:t>ый период</w:t>
      </w:r>
      <w:r>
        <w:rPr>
          <w:sz w:val="28"/>
          <w:szCs w:val="28"/>
        </w:rPr>
        <w:t xml:space="preserve"> </w:t>
      </w:r>
      <w:r w:rsidR="006E16F8">
        <w:rPr>
          <w:sz w:val="28"/>
          <w:szCs w:val="28"/>
        </w:rPr>
        <w:t>общий объем доходов, общий объем</w:t>
      </w:r>
      <w:r>
        <w:rPr>
          <w:sz w:val="28"/>
          <w:szCs w:val="28"/>
        </w:rPr>
        <w:t xml:space="preserve"> расходов, дефицит бюджета и условно</w:t>
      </w:r>
      <w:r w:rsidR="006E16F8">
        <w:rPr>
          <w:sz w:val="28"/>
          <w:szCs w:val="28"/>
        </w:rPr>
        <w:t>-</w:t>
      </w:r>
      <w:r>
        <w:rPr>
          <w:sz w:val="28"/>
          <w:szCs w:val="28"/>
        </w:rPr>
        <w:t xml:space="preserve">утвержденные расходы на плановый период. </w:t>
      </w:r>
      <w:proofErr w:type="gramEnd"/>
    </w:p>
    <w:p w:rsidR="003556E2" w:rsidRDefault="00102E73" w:rsidP="007021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Этой же</w:t>
      </w:r>
      <w:r w:rsidR="008261D5">
        <w:rPr>
          <w:sz w:val="28"/>
          <w:szCs w:val="28"/>
        </w:rPr>
        <w:t xml:space="preserve"> статьей предусмотрено утверждение источников финансирования дефицита бюджета  согласно приложению </w:t>
      </w:r>
      <w:r w:rsidR="006E16F8">
        <w:rPr>
          <w:sz w:val="28"/>
          <w:szCs w:val="28"/>
        </w:rPr>
        <w:t>№</w:t>
      </w:r>
      <w:r w:rsidR="008261D5">
        <w:rPr>
          <w:sz w:val="28"/>
          <w:szCs w:val="28"/>
        </w:rPr>
        <w:t xml:space="preserve">1 к </w:t>
      </w:r>
      <w:r w:rsidR="008919E2">
        <w:rPr>
          <w:sz w:val="28"/>
          <w:szCs w:val="28"/>
        </w:rPr>
        <w:t>бюджету</w:t>
      </w:r>
      <w:r w:rsidR="008261D5">
        <w:rPr>
          <w:sz w:val="28"/>
          <w:szCs w:val="28"/>
        </w:rPr>
        <w:t>.</w:t>
      </w:r>
    </w:p>
    <w:p w:rsidR="00FB7EA6" w:rsidRDefault="00E5525E" w:rsidP="007021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2020 год и на плановый период 2021 и 2022 годов, в источниках финансирования дефицита бюджета не предусматриваются средства от продажи акций и иных форм участия в капитале, находящихся в собственности города Липецка. </w:t>
      </w:r>
      <w:r w:rsidR="00806A18">
        <w:rPr>
          <w:sz w:val="28"/>
          <w:szCs w:val="28"/>
        </w:rPr>
        <w:t>Вместе с тем, следует отметить</w:t>
      </w:r>
      <w:r w:rsidR="008919E2">
        <w:rPr>
          <w:sz w:val="28"/>
          <w:szCs w:val="28"/>
        </w:rPr>
        <w:t>,</w:t>
      </w:r>
      <w:r w:rsidR="00806A18">
        <w:rPr>
          <w:sz w:val="28"/>
          <w:szCs w:val="28"/>
        </w:rPr>
        <w:t xml:space="preserve"> что </w:t>
      </w:r>
      <w:r w:rsidR="00FB7EA6">
        <w:rPr>
          <w:sz w:val="28"/>
          <w:szCs w:val="28"/>
        </w:rPr>
        <w:t>П</w:t>
      </w:r>
      <w:r w:rsidR="00806A18">
        <w:rPr>
          <w:sz w:val="28"/>
          <w:szCs w:val="28"/>
        </w:rPr>
        <w:t>лан</w:t>
      </w:r>
      <w:r w:rsidR="00FB7EA6">
        <w:rPr>
          <w:sz w:val="28"/>
          <w:szCs w:val="28"/>
        </w:rPr>
        <w:t>ом</w:t>
      </w:r>
      <w:r w:rsidR="00806A18">
        <w:rPr>
          <w:sz w:val="28"/>
          <w:szCs w:val="28"/>
        </w:rPr>
        <w:t xml:space="preserve"> приватизации муниципального имущества на </w:t>
      </w:r>
      <w:r w:rsidR="00D96CE9">
        <w:rPr>
          <w:sz w:val="28"/>
          <w:szCs w:val="28"/>
        </w:rPr>
        <w:t>текущий</w:t>
      </w:r>
      <w:r w:rsidR="00806A18">
        <w:rPr>
          <w:sz w:val="28"/>
          <w:szCs w:val="28"/>
        </w:rPr>
        <w:t xml:space="preserve"> год предусм</w:t>
      </w:r>
      <w:r w:rsidR="00C50671">
        <w:rPr>
          <w:sz w:val="28"/>
          <w:szCs w:val="28"/>
        </w:rPr>
        <w:t xml:space="preserve">отрена </w:t>
      </w:r>
      <w:r w:rsidR="00806A18">
        <w:rPr>
          <w:sz w:val="28"/>
          <w:szCs w:val="28"/>
        </w:rPr>
        <w:t>продажа</w:t>
      </w:r>
      <w:r w:rsidR="00C50671">
        <w:rPr>
          <w:sz w:val="28"/>
          <w:szCs w:val="28"/>
        </w:rPr>
        <w:t xml:space="preserve"> пакета</w:t>
      </w:r>
      <w:r w:rsidR="00806A18">
        <w:rPr>
          <w:sz w:val="28"/>
          <w:szCs w:val="28"/>
        </w:rPr>
        <w:t xml:space="preserve"> акций АО «Липецкая недвижимость»</w:t>
      </w:r>
      <w:r w:rsidR="00C50671">
        <w:rPr>
          <w:sz w:val="28"/>
          <w:szCs w:val="28"/>
        </w:rPr>
        <w:t>, АО «Бином-ТВ»</w:t>
      </w:r>
      <w:r w:rsidR="00806A18">
        <w:rPr>
          <w:sz w:val="28"/>
          <w:szCs w:val="28"/>
        </w:rPr>
        <w:t xml:space="preserve"> </w:t>
      </w:r>
      <w:r w:rsidR="00677AA9">
        <w:rPr>
          <w:sz w:val="28"/>
          <w:szCs w:val="28"/>
        </w:rPr>
        <w:t>и ОАО «Торговый дом Липецк-регион». Из указанных трех пакетов акций реализован</w:t>
      </w:r>
      <w:r w:rsidR="00FB7EA6">
        <w:rPr>
          <w:sz w:val="28"/>
          <w:szCs w:val="28"/>
        </w:rPr>
        <w:t>ы</w:t>
      </w:r>
      <w:r w:rsidR="00677AA9">
        <w:rPr>
          <w:sz w:val="28"/>
          <w:szCs w:val="28"/>
        </w:rPr>
        <w:t xml:space="preserve"> только</w:t>
      </w:r>
      <w:r w:rsidR="00FB7EA6">
        <w:rPr>
          <w:sz w:val="28"/>
          <w:szCs w:val="28"/>
        </w:rPr>
        <w:t xml:space="preserve"> акц</w:t>
      </w:r>
      <w:proofErr w:type="gramStart"/>
      <w:r w:rsidR="00FB7EA6">
        <w:rPr>
          <w:sz w:val="28"/>
          <w:szCs w:val="28"/>
        </w:rPr>
        <w:t>ии</w:t>
      </w:r>
      <w:r w:rsidR="00677AA9">
        <w:rPr>
          <w:sz w:val="28"/>
          <w:szCs w:val="28"/>
        </w:rPr>
        <w:t xml:space="preserve"> АО</w:t>
      </w:r>
      <w:proofErr w:type="gramEnd"/>
      <w:r w:rsidR="00677AA9">
        <w:rPr>
          <w:sz w:val="28"/>
          <w:szCs w:val="28"/>
        </w:rPr>
        <w:t xml:space="preserve"> «Липецкая недвижимость». Процедура торгов по приватизации </w:t>
      </w:r>
      <w:r w:rsidR="00FB7EA6">
        <w:rPr>
          <w:sz w:val="28"/>
          <w:szCs w:val="28"/>
        </w:rPr>
        <w:t xml:space="preserve">остальных </w:t>
      </w:r>
      <w:r w:rsidR="00677AA9">
        <w:rPr>
          <w:sz w:val="28"/>
          <w:szCs w:val="28"/>
        </w:rPr>
        <w:t xml:space="preserve">пакетов акций началась, но, вероятнее всего не будет </w:t>
      </w:r>
      <w:r w:rsidR="00FB7EA6">
        <w:rPr>
          <w:sz w:val="28"/>
          <w:szCs w:val="28"/>
        </w:rPr>
        <w:t>завершена</w:t>
      </w:r>
      <w:r w:rsidR="00677AA9">
        <w:rPr>
          <w:sz w:val="28"/>
          <w:szCs w:val="28"/>
        </w:rPr>
        <w:t xml:space="preserve"> до конца текущего года, </w:t>
      </w:r>
      <w:r w:rsidR="00FB7EA6">
        <w:rPr>
          <w:sz w:val="28"/>
          <w:szCs w:val="28"/>
        </w:rPr>
        <w:t xml:space="preserve">в </w:t>
      </w:r>
      <w:r w:rsidR="00D96CE9">
        <w:rPr>
          <w:sz w:val="28"/>
          <w:szCs w:val="28"/>
        </w:rPr>
        <w:t>этом случае</w:t>
      </w:r>
      <w:r w:rsidR="00677AA9">
        <w:rPr>
          <w:sz w:val="28"/>
          <w:szCs w:val="28"/>
        </w:rPr>
        <w:t xml:space="preserve"> средств</w:t>
      </w:r>
      <w:r w:rsidR="00D96CE9">
        <w:rPr>
          <w:sz w:val="28"/>
          <w:szCs w:val="28"/>
        </w:rPr>
        <w:t>а</w:t>
      </w:r>
      <w:r w:rsidR="00FB7EA6">
        <w:rPr>
          <w:sz w:val="28"/>
          <w:szCs w:val="28"/>
        </w:rPr>
        <w:t xml:space="preserve"> порядка  20,0</w:t>
      </w:r>
      <w:r w:rsidR="008919E2">
        <w:rPr>
          <w:sz w:val="28"/>
          <w:szCs w:val="28"/>
        </w:rPr>
        <w:t xml:space="preserve"> млн. руб.</w:t>
      </w:r>
      <w:r w:rsidR="00D96CE9">
        <w:rPr>
          <w:sz w:val="28"/>
          <w:szCs w:val="28"/>
        </w:rPr>
        <w:t xml:space="preserve"> будут зачислены</w:t>
      </w:r>
      <w:r w:rsidR="00FB7EA6">
        <w:rPr>
          <w:sz w:val="28"/>
          <w:szCs w:val="28"/>
        </w:rPr>
        <w:t xml:space="preserve">  </w:t>
      </w:r>
      <w:r w:rsidR="00677AA9">
        <w:rPr>
          <w:sz w:val="28"/>
          <w:szCs w:val="28"/>
        </w:rPr>
        <w:t>в бюджет</w:t>
      </w:r>
      <w:r w:rsidR="00FB7EA6">
        <w:rPr>
          <w:sz w:val="28"/>
          <w:szCs w:val="28"/>
        </w:rPr>
        <w:t xml:space="preserve"> </w:t>
      </w:r>
      <w:r w:rsidR="00677AA9">
        <w:rPr>
          <w:sz w:val="28"/>
          <w:szCs w:val="28"/>
        </w:rPr>
        <w:t>2020 год</w:t>
      </w:r>
      <w:r w:rsidR="00FB7EA6">
        <w:rPr>
          <w:sz w:val="28"/>
          <w:szCs w:val="28"/>
        </w:rPr>
        <w:t>а</w:t>
      </w:r>
      <w:r w:rsidR="00677AA9">
        <w:rPr>
          <w:sz w:val="28"/>
          <w:szCs w:val="28"/>
        </w:rPr>
        <w:t xml:space="preserve">. </w:t>
      </w:r>
      <w:proofErr w:type="gramStart"/>
      <w:r w:rsidR="00FB7EA6" w:rsidRPr="00D96CE9">
        <w:rPr>
          <w:i/>
          <w:sz w:val="28"/>
          <w:szCs w:val="28"/>
        </w:rPr>
        <w:t xml:space="preserve">В </w:t>
      </w:r>
      <w:r w:rsidR="00677AA9" w:rsidRPr="00D96CE9">
        <w:rPr>
          <w:i/>
          <w:sz w:val="28"/>
          <w:szCs w:val="28"/>
        </w:rPr>
        <w:t>соответствии со ст</w:t>
      </w:r>
      <w:r w:rsidR="00C50671" w:rsidRPr="00D96CE9">
        <w:rPr>
          <w:i/>
          <w:sz w:val="28"/>
          <w:szCs w:val="28"/>
        </w:rPr>
        <w:t>атьями</w:t>
      </w:r>
      <w:r w:rsidR="00677AA9" w:rsidRPr="00D96CE9">
        <w:rPr>
          <w:i/>
          <w:sz w:val="28"/>
          <w:szCs w:val="28"/>
        </w:rPr>
        <w:t xml:space="preserve"> 41,</w:t>
      </w:r>
      <w:r w:rsidR="008919E2" w:rsidRPr="00D96CE9">
        <w:rPr>
          <w:i/>
          <w:sz w:val="28"/>
          <w:szCs w:val="28"/>
        </w:rPr>
        <w:t xml:space="preserve"> </w:t>
      </w:r>
      <w:r w:rsidR="00677AA9" w:rsidRPr="00D96CE9">
        <w:rPr>
          <w:i/>
          <w:sz w:val="28"/>
          <w:szCs w:val="28"/>
        </w:rPr>
        <w:t>62,</w:t>
      </w:r>
      <w:r w:rsidR="008919E2" w:rsidRPr="00D96CE9">
        <w:rPr>
          <w:i/>
          <w:sz w:val="28"/>
          <w:szCs w:val="28"/>
        </w:rPr>
        <w:t xml:space="preserve"> </w:t>
      </w:r>
      <w:r w:rsidR="00677AA9" w:rsidRPr="00D96CE9">
        <w:rPr>
          <w:i/>
          <w:sz w:val="28"/>
          <w:szCs w:val="28"/>
        </w:rPr>
        <w:t>96 БК РФ поступления от продажи акций не относятся к неналоговым доходам, а включаются в состав источников внутреннего финансирования дефицита бюджета</w:t>
      </w:r>
      <w:r w:rsidR="008919E2" w:rsidRPr="00D96CE9">
        <w:rPr>
          <w:i/>
          <w:sz w:val="28"/>
          <w:szCs w:val="28"/>
        </w:rPr>
        <w:t>, и</w:t>
      </w:r>
      <w:r w:rsidR="00677AA9" w:rsidRPr="00D96CE9">
        <w:rPr>
          <w:i/>
          <w:sz w:val="28"/>
          <w:szCs w:val="28"/>
        </w:rPr>
        <w:t xml:space="preserve"> </w:t>
      </w:r>
      <w:r w:rsidR="00FB7EA6" w:rsidRPr="00D96CE9">
        <w:rPr>
          <w:i/>
          <w:sz w:val="28"/>
          <w:szCs w:val="28"/>
        </w:rPr>
        <w:t>в целях соблюдения данной нормы</w:t>
      </w:r>
      <w:r w:rsidR="008919E2" w:rsidRPr="00D96CE9">
        <w:rPr>
          <w:i/>
          <w:sz w:val="28"/>
          <w:szCs w:val="28"/>
        </w:rPr>
        <w:t>,</w:t>
      </w:r>
      <w:r w:rsidR="00677AA9" w:rsidRPr="00D96CE9">
        <w:rPr>
          <w:i/>
          <w:sz w:val="28"/>
          <w:szCs w:val="28"/>
        </w:rPr>
        <w:t xml:space="preserve"> следует </w:t>
      </w:r>
      <w:r w:rsidR="00D96CE9" w:rsidRPr="00D96CE9">
        <w:rPr>
          <w:i/>
          <w:sz w:val="28"/>
          <w:szCs w:val="28"/>
        </w:rPr>
        <w:t>по завершении</w:t>
      </w:r>
      <w:r w:rsidR="00677AA9" w:rsidRPr="00D96CE9">
        <w:rPr>
          <w:i/>
          <w:sz w:val="28"/>
          <w:szCs w:val="28"/>
        </w:rPr>
        <w:t xml:space="preserve"> операции с отчуждением акций</w:t>
      </w:r>
      <w:r w:rsidR="009F7D73">
        <w:rPr>
          <w:i/>
          <w:sz w:val="28"/>
          <w:szCs w:val="28"/>
        </w:rPr>
        <w:t>,</w:t>
      </w:r>
      <w:r w:rsidR="00677AA9" w:rsidRPr="00D96CE9">
        <w:rPr>
          <w:i/>
          <w:sz w:val="28"/>
          <w:szCs w:val="28"/>
        </w:rPr>
        <w:t xml:space="preserve"> своевременно внести изменения в Бюджет</w:t>
      </w:r>
      <w:r w:rsidR="00C50671" w:rsidRPr="00D96CE9">
        <w:rPr>
          <w:i/>
          <w:sz w:val="28"/>
          <w:szCs w:val="28"/>
        </w:rPr>
        <w:t xml:space="preserve"> города</w:t>
      </w:r>
      <w:r w:rsidR="00677AA9" w:rsidRPr="00D96CE9">
        <w:rPr>
          <w:i/>
          <w:sz w:val="28"/>
          <w:szCs w:val="28"/>
        </w:rPr>
        <w:t xml:space="preserve"> на 2020 год (приложение №1, приложение №5)</w:t>
      </w:r>
      <w:r w:rsidR="00FB7EA6">
        <w:rPr>
          <w:sz w:val="28"/>
          <w:szCs w:val="28"/>
        </w:rPr>
        <w:t>.</w:t>
      </w:r>
      <w:r w:rsidR="001D7E7B">
        <w:rPr>
          <w:sz w:val="28"/>
          <w:szCs w:val="28"/>
        </w:rPr>
        <w:t xml:space="preserve"> </w:t>
      </w:r>
      <w:proofErr w:type="gramEnd"/>
    </w:p>
    <w:p w:rsidR="00D1187D" w:rsidRDefault="003621C1" w:rsidP="007021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529C0">
        <w:rPr>
          <w:sz w:val="28"/>
          <w:szCs w:val="28"/>
        </w:rPr>
        <w:t xml:space="preserve">пунктом </w:t>
      </w:r>
      <w:r w:rsidR="001529C0" w:rsidRPr="00155274">
        <w:rPr>
          <w:sz w:val="28"/>
          <w:szCs w:val="28"/>
        </w:rPr>
        <w:t>1 статьи 4</w:t>
      </w:r>
      <w:r w:rsidR="001529C0">
        <w:rPr>
          <w:sz w:val="28"/>
          <w:szCs w:val="28"/>
        </w:rPr>
        <w:t xml:space="preserve"> проекта</w:t>
      </w:r>
      <w:r w:rsidR="008919E2">
        <w:rPr>
          <w:sz w:val="28"/>
          <w:szCs w:val="28"/>
        </w:rPr>
        <w:t>,</w:t>
      </w:r>
      <w:r w:rsidR="001529C0">
        <w:rPr>
          <w:sz w:val="28"/>
          <w:szCs w:val="28"/>
        </w:rPr>
        <w:t xml:space="preserve"> суммарный объем бюджетных ассигнований на </w:t>
      </w:r>
      <w:r w:rsidR="001529C0" w:rsidRPr="00AF7B05">
        <w:rPr>
          <w:b/>
          <w:i/>
          <w:sz w:val="28"/>
          <w:szCs w:val="28"/>
        </w:rPr>
        <w:t>исполнение публичных нормативных обязательств</w:t>
      </w:r>
      <w:r w:rsidR="001529C0">
        <w:rPr>
          <w:sz w:val="28"/>
          <w:szCs w:val="28"/>
        </w:rPr>
        <w:t xml:space="preserve"> запланирован в сумме 3454,0 тыс. руб. ежегодно и предусматривает обязательства на реализацию </w:t>
      </w:r>
      <w:r w:rsidR="00350B5D">
        <w:rPr>
          <w:sz w:val="28"/>
          <w:szCs w:val="28"/>
        </w:rPr>
        <w:t>П</w:t>
      </w:r>
      <w:r w:rsidR="001529C0">
        <w:rPr>
          <w:sz w:val="28"/>
          <w:szCs w:val="28"/>
        </w:rPr>
        <w:t xml:space="preserve">оложения </w:t>
      </w:r>
      <w:r w:rsidR="00350B5D">
        <w:rPr>
          <w:sz w:val="28"/>
          <w:szCs w:val="28"/>
        </w:rPr>
        <w:t xml:space="preserve">о звании «Почетный гражданин города Липецка». </w:t>
      </w:r>
      <w:r w:rsidR="00155274">
        <w:rPr>
          <w:sz w:val="28"/>
          <w:szCs w:val="28"/>
        </w:rPr>
        <w:t>О</w:t>
      </w:r>
      <w:r w:rsidR="00350B5D">
        <w:rPr>
          <w:sz w:val="28"/>
          <w:szCs w:val="28"/>
        </w:rPr>
        <w:t xml:space="preserve">бъем обязательств рассчитан </w:t>
      </w:r>
      <w:r w:rsidR="00155274">
        <w:rPr>
          <w:sz w:val="28"/>
          <w:szCs w:val="28"/>
        </w:rPr>
        <w:t>исходя из количества выплат</w:t>
      </w:r>
      <w:r w:rsidR="00350B5D">
        <w:rPr>
          <w:sz w:val="28"/>
          <w:szCs w:val="28"/>
        </w:rPr>
        <w:t xml:space="preserve"> восемнадцати Почетным гражданам города, с увеличением на две выплаты </w:t>
      </w:r>
      <w:r w:rsidR="00155274">
        <w:rPr>
          <w:sz w:val="28"/>
          <w:szCs w:val="28"/>
        </w:rPr>
        <w:t>со второго полугодия 2020 года</w:t>
      </w:r>
      <w:r w:rsidR="00350B5D">
        <w:rPr>
          <w:sz w:val="28"/>
          <w:szCs w:val="28"/>
        </w:rPr>
        <w:t>.</w:t>
      </w:r>
    </w:p>
    <w:p w:rsidR="00350B5D" w:rsidRDefault="00D533F4" w:rsidP="007021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финансового обеспечения непредвиденных расходов предусматривается </w:t>
      </w:r>
      <w:r w:rsidRPr="00F26997">
        <w:rPr>
          <w:b/>
          <w:i/>
          <w:sz w:val="28"/>
          <w:szCs w:val="28"/>
        </w:rPr>
        <w:t>резервный фонд администрации города</w:t>
      </w:r>
      <w:r>
        <w:rPr>
          <w:sz w:val="28"/>
          <w:szCs w:val="28"/>
        </w:rPr>
        <w:t xml:space="preserve"> в объеме 10,0 млн. руб. </w:t>
      </w:r>
      <w:r w:rsidR="008919E2">
        <w:rPr>
          <w:sz w:val="28"/>
          <w:szCs w:val="28"/>
        </w:rPr>
        <w:t>на</w:t>
      </w:r>
      <w:r>
        <w:rPr>
          <w:sz w:val="28"/>
          <w:szCs w:val="28"/>
        </w:rPr>
        <w:t xml:space="preserve"> 2020 год и по 8,0 млн. руб. </w:t>
      </w:r>
      <w:r w:rsidR="008919E2">
        <w:rPr>
          <w:sz w:val="28"/>
          <w:szCs w:val="28"/>
        </w:rPr>
        <w:t>на</w:t>
      </w:r>
      <w:r>
        <w:rPr>
          <w:sz w:val="28"/>
          <w:szCs w:val="28"/>
        </w:rPr>
        <w:t xml:space="preserve"> 2020 и 2021 год</w:t>
      </w:r>
      <w:r w:rsidR="008919E2">
        <w:rPr>
          <w:sz w:val="28"/>
          <w:szCs w:val="28"/>
        </w:rPr>
        <w:t>ы</w:t>
      </w:r>
      <w:r>
        <w:rPr>
          <w:sz w:val="28"/>
          <w:szCs w:val="28"/>
        </w:rPr>
        <w:t>. Объем резервного фонда соответствует предельным ограничениям, предусмотренным ст. 81 БК РФ.</w:t>
      </w:r>
    </w:p>
    <w:p w:rsidR="00D533F4" w:rsidRDefault="00F05FD9" w:rsidP="0070211C">
      <w:pPr>
        <w:suppressAutoHyphens/>
        <w:ind w:firstLine="709"/>
        <w:jc w:val="both"/>
        <w:rPr>
          <w:sz w:val="28"/>
          <w:szCs w:val="28"/>
        </w:rPr>
      </w:pPr>
      <w:r w:rsidRPr="00155274">
        <w:rPr>
          <w:sz w:val="28"/>
          <w:szCs w:val="28"/>
        </w:rPr>
        <w:t>Статьей 5</w:t>
      </w:r>
      <w:r>
        <w:rPr>
          <w:sz w:val="28"/>
          <w:szCs w:val="28"/>
        </w:rPr>
        <w:t xml:space="preserve"> проекта бюджета устанавливается порядок финансового обеспечения муниципальных заданий </w:t>
      </w:r>
      <w:r w:rsidR="00B656D4">
        <w:rPr>
          <w:sz w:val="28"/>
          <w:szCs w:val="28"/>
        </w:rPr>
        <w:t>дошкольных</w:t>
      </w:r>
      <w:r w:rsidR="00D61CF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учреждений, оказывающи</w:t>
      </w:r>
      <w:r w:rsidR="00B656D4">
        <w:rPr>
          <w:sz w:val="28"/>
          <w:szCs w:val="28"/>
        </w:rPr>
        <w:t>х</w:t>
      </w:r>
      <w:r>
        <w:rPr>
          <w:sz w:val="28"/>
          <w:szCs w:val="28"/>
        </w:rPr>
        <w:t xml:space="preserve"> услуги по организации присмотра и ухода за детьми дошкольного возраста, </w:t>
      </w:r>
      <w:r w:rsidR="00B656D4">
        <w:rPr>
          <w:sz w:val="28"/>
          <w:szCs w:val="28"/>
        </w:rPr>
        <w:t>учитывающий</w:t>
      </w:r>
      <w:r>
        <w:rPr>
          <w:sz w:val="28"/>
          <w:szCs w:val="28"/>
        </w:rPr>
        <w:t xml:space="preserve"> родительск</w:t>
      </w:r>
      <w:r w:rsidR="00B656D4">
        <w:rPr>
          <w:sz w:val="28"/>
          <w:szCs w:val="28"/>
        </w:rPr>
        <w:t>ую</w:t>
      </w:r>
      <w:r>
        <w:rPr>
          <w:sz w:val="28"/>
          <w:szCs w:val="28"/>
        </w:rPr>
        <w:t xml:space="preserve"> плат</w:t>
      </w:r>
      <w:r w:rsidR="00B656D4">
        <w:rPr>
          <w:sz w:val="28"/>
          <w:szCs w:val="28"/>
        </w:rPr>
        <w:t>у</w:t>
      </w:r>
      <w:r w:rsidR="00A11F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1FEE">
        <w:rPr>
          <w:sz w:val="28"/>
          <w:szCs w:val="28"/>
        </w:rPr>
        <w:t xml:space="preserve">размер </w:t>
      </w:r>
      <w:r w:rsidR="003E2206">
        <w:rPr>
          <w:sz w:val="28"/>
          <w:szCs w:val="28"/>
        </w:rPr>
        <w:lastRenderedPageBreak/>
        <w:t>котор</w:t>
      </w:r>
      <w:r w:rsidR="00A11FEE">
        <w:rPr>
          <w:sz w:val="28"/>
          <w:szCs w:val="28"/>
        </w:rPr>
        <w:t>ой</w:t>
      </w:r>
      <w:r w:rsidR="003E2206">
        <w:rPr>
          <w:sz w:val="28"/>
          <w:szCs w:val="28"/>
        </w:rPr>
        <w:t xml:space="preserve"> </w:t>
      </w:r>
      <w:r w:rsidR="00A11FEE">
        <w:rPr>
          <w:sz w:val="28"/>
          <w:szCs w:val="28"/>
        </w:rPr>
        <w:t>сохранен</w:t>
      </w:r>
      <w:r w:rsidR="003E2206">
        <w:rPr>
          <w:sz w:val="28"/>
          <w:szCs w:val="28"/>
        </w:rPr>
        <w:t xml:space="preserve"> на уровне 2019 года с максимально утвержденной суммой 2044 руб. в месяц.</w:t>
      </w:r>
      <w:r>
        <w:rPr>
          <w:sz w:val="28"/>
          <w:szCs w:val="28"/>
        </w:rPr>
        <w:t xml:space="preserve"> </w:t>
      </w:r>
    </w:p>
    <w:p w:rsidR="00CF6559" w:rsidRDefault="00BA1C21" w:rsidP="0070211C">
      <w:pPr>
        <w:suppressAutoHyphens/>
        <w:ind w:firstLine="709"/>
        <w:jc w:val="both"/>
        <w:rPr>
          <w:sz w:val="28"/>
          <w:szCs w:val="28"/>
        </w:rPr>
      </w:pPr>
      <w:r w:rsidRPr="00BA1C21">
        <w:rPr>
          <w:sz w:val="28"/>
          <w:szCs w:val="28"/>
        </w:rPr>
        <w:t>В</w:t>
      </w:r>
      <w:r w:rsidR="004E5B65">
        <w:rPr>
          <w:sz w:val="28"/>
          <w:szCs w:val="28"/>
        </w:rPr>
        <w:t xml:space="preserve"> </w:t>
      </w:r>
      <w:r w:rsidR="004B54B3">
        <w:rPr>
          <w:sz w:val="28"/>
          <w:szCs w:val="28"/>
        </w:rPr>
        <w:t>статье 6 проекта бюджета</w:t>
      </w:r>
      <w:r w:rsidR="004E5B65">
        <w:rPr>
          <w:sz w:val="28"/>
          <w:szCs w:val="28"/>
        </w:rPr>
        <w:t xml:space="preserve"> утверждаются верхние пределы муниципального внутреннего долга города Липецка, </w:t>
      </w:r>
      <w:r w:rsidR="00A847F1">
        <w:rPr>
          <w:sz w:val="28"/>
          <w:szCs w:val="28"/>
        </w:rPr>
        <w:t>П</w:t>
      </w:r>
      <w:r w:rsidR="004E5B65">
        <w:rPr>
          <w:sz w:val="28"/>
          <w:szCs w:val="28"/>
        </w:rPr>
        <w:t>рограмма муниципальных внутренних заимствований города Липецка и общий объем бюджетных ассигнований, предусмотренных на исполнение муниципальных гарантий по возможным гарантийным случаям.</w:t>
      </w:r>
    </w:p>
    <w:p w:rsidR="004E5B65" w:rsidRDefault="004B54B3" w:rsidP="007021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5B65">
        <w:rPr>
          <w:sz w:val="28"/>
          <w:szCs w:val="28"/>
        </w:rPr>
        <w:t>рогнозировани</w:t>
      </w:r>
      <w:r>
        <w:rPr>
          <w:sz w:val="28"/>
          <w:szCs w:val="28"/>
        </w:rPr>
        <w:t>е</w:t>
      </w:r>
      <w:r w:rsidR="004E5B65">
        <w:rPr>
          <w:sz w:val="28"/>
          <w:szCs w:val="28"/>
        </w:rPr>
        <w:t xml:space="preserve"> указанных показателей, </w:t>
      </w:r>
      <w:r>
        <w:rPr>
          <w:sz w:val="28"/>
          <w:szCs w:val="28"/>
        </w:rPr>
        <w:t>произведено с у</w:t>
      </w:r>
      <w:r w:rsidR="00A11FEE">
        <w:rPr>
          <w:sz w:val="28"/>
          <w:szCs w:val="28"/>
        </w:rPr>
        <w:t>четом</w:t>
      </w:r>
      <w:r>
        <w:rPr>
          <w:sz w:val="28"/>
          <w:szCs w:val="28"/>
        </w:rPr>
        <w:t xml:space="preserve"> предстоящей</w:t>
      </w:r>
      <w:r w:rsidR="004E5B65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="004E5B65">
        <w:rPr>
          <w:sz w:val="28"/>
          <w:szCs w:val="28"/>
        </w:rPr>
        <w:t xml:space="preserve"> долговой устойчивости муниципального образования </w:t>
      </w:r>
      <w:r>
        <w:rPr>
          <w:sz w:val="28"/>
          <w:szCs w:val="28"/>
        </w:rPr>
        <w:t>в соответствии</w:t>
      </w:r>
      <w:r w:rsidR="009F7D73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</w:t>
      </w:r>
      <w:r w:rsidR="004E5B65">
        <w:rPr>
          <w:sz w:val="28"/>
          <w:szCs w:val="28"/>
        </w:rPr>
        <w:t>ст. 107, 107.</w:t>
      </w:r>
      <w:r w:rsidR="0017091B">
        <w:rPr>
          <w:sz w:val="28"/>
          <w:szCs w:val="28"/>
        </w:rPr>
        <w:t>1</w:t>
      </w:r>
      <w:r>
        <w:rPr>
          <w:sz w:val="28"/>
          <w:szCs w:val="28"/>
        </w:rPr>
        <w:t xml:space="preserve"> БК РФ</w:t>
      </w:r>
      <w:r w:rsidR="004E5B65">
        <w:rPr>
          <w:sz w:val="28"/>
          <w:szCs w:val="28"/>
        </w:rPr>
        <w:t>.</w:t>
      </w:r>
    </w:p>
    <w:p w:rsidR="0017737F" w:rsidRDefault="004E5B65" w:rsidP="007021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2021 года</w:t>
      </w:r>
      <w:r w:rsidR="001561AF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="0017737F">
        <w:rPr>
          <w:sz w:val="28"/>
          <w:szCs w:val="28"/>
        </w:rPr>
        <w:t>отнесени</w:t>
      </w:r>
      <w:r w:rsidR="001561AF">
        <w:rPr>
          <w:sz w:val="28"/>
          <w:szCs w:val="28"/>
        </w:rPr>
        <w:t>и муниципального</w:t>
      </w:r>
      <w:r w:rsidR="0017737F">
        <w:rPr>
          <w:sz w:val="28"/>
          <w:szCs w:val="28"/>
        </w:rPr>
        <w:t xml:space="preserve"> образования к группе заемщиков со средн</w:t>
      </w:r>
      <w:r w:rsidR="001561AF">
        <w:rPr>
          <w:sz w:val="28"/>
          <w:szCs w:val="28"/>
        </w:rPr>
        <w:t>и</w:t>
      </w:r>
      <w:r w:rsidR="0017737F">
        <w:rPr>
          <w:sz w:val="28"/>
          <w:szCs w:val="28"/>
        </w:rPr>
        <w:t>м или низким уровнем долговой устойчивости,</w:t>
      </w:r>
      <w:r w:rsidR="001561AF">
        <w:rPr>
          <w:sz w:val="28"/>
          <w:szCs w:val="28"/>
        </w:rPr>
        <w:t xml:space="preserve"> </w:t>
      </w:r>
      <w:r w:rsidR="008E164B">
        <w:rPr>
          <w:sz w:val="28"/>
          <w:szCs w:val="28"/>
        </w:rPr>
        <w:t>потребуется</w:t>
      </w:r>
      <w:r w:rsidR="0017737F">
        <w:rPr>
          <w:sz w:val="28"/>
          <w:szCs w:val="28"/>
        </w:rPr>
        <w:t xml:space="preserve"> представл</w:t>
      </w:r>
      <w:r w:rsidR="008E164B">
        <w:rPr>
          <w:sz w:val="28"/>
          <w:szCs w:val="28"/>
        </w:rPr>
        <w:t>ение</w:t>
      </w:r>
      <w:r w:rsidR="00B75F2B">
        <w:rPr>
          <w:sz w:val="28"/>
          <w:szCs w:val="28"/>
        </w:rPr>
        <w:t xml:space="preserve"> для согласования</w:t>
      </w:r>
      <w:r w:rsidR="001561AF">
        <w:rPr>
          <w:sz w:val="28"/>
          <w:szCs w:val="28"/>
        </w:rPr>
        <w:t xml:space="preserve"> </w:t>
      </w:r>
      <w:r w:rsidR="0017737F">
        <w:rPr>
          <w:sz w:val="28"/>
          <w:szCs w:val="28"/>
        </w:rPr>
        <w:t>в финансовый орган субъект</w:t>
      </w:r>
      <w:r w:rsidR="001561AF">
        <w:rPr>
          <w:sz w:val="28"/>
          <w:szCs w:val="28"/>
        </w:rPr>
        <w:t>а</w:t>
      </w:r>
      <w:r w:rsidR="0017737F">
        <w:rPr>
          <w:sz w:val="28"/>
          <w:szCs w:val="28"/>
        </w:rPr>
        <w:t xml:space="preserve"> </w:t>
      </w:r>
      <w:r w:rsidR="001561AF">
        <w:rPr>
          <w:sz w:val="28"/>
          <w:szCs w:val="28"/>
        </w:rPr>
        <w:t>П</w:t>
      </w:r>
      <w:r w:rsidR="0017737F">
        <w:rPr>
          <w:sz w:val="28"/>
          <w:szCs w:val="28"/>
        </w:rPr>
        <w:t>рограммы муниципальных внутренних заимствований и муниципальных гарантий.</w:t>
      </w:r>
    </w:p>
    <w:p w:rsidR="00F60533" w:rsidRDefault="00F60533" w:rsidP="007021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оценке ожидаемого исполнения текущего финансового года и предстоящего трехлетнего периода, город Липецк относится к среднему уровню долговой устойчивости.</w:t>
      </w:r>
    </w:p>
    <w:p w:rsidR="008E164B" w:rsidRDefault="002905E5" w:rsidP="0070211C">
      <w:pPr>
        <w:suppressAutoHyphens/>
        <w:ind w:firstLine="709"/>
        <w:jc w:val="both"/>
        <w:rPr>
          <w:sz w:val="28"/>
          <w:szCs w:val="28"/>
        </w:rPr>
      </w:pPr>
      <w:r w:rsidRPr="008E164B">
        <w:rPr>
          <w:b/>
          <w:i/>
          <w:sz w:val="28"/>
          <w:szCs w:val="28"/>
        </w:rPr>
        <w:t>Верхний предел муниципального долга города Липецка</w:t>
      </w:r>
      <w:r>
        <w:rPr>
          <w:sz w:val="28"/>
          <w:szCs w:val="28"/>
        </w:rPr>
        <w:t xml:space="preserve"> на</w:t>
      </w:r>
      <w:r w:rsidR="001F49A9">
        <w:rPr>
          <w:sz w:val="28"/>
          <w:szCs w:val="28"/>
        </w:rPr>
        <w:t xml:space="preserve"> 01.01.</w:t>
      </w:r>
      <w:r>
        <w:rPr>
          <w:sz w:val="28"/>
          <w:szCs w:val="28"/>
        </w:rPr>
        <w:t>202</w:t>
      </w:r>
      <w:r w:rsidR="001F49A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1F49A9">
        <w:rPr>
          <w:sz w:val="28"/>
          <w:szCs w:val="28"/>
        </w:rPr>
        <w:t>а</w:t>
      </w:r>
      <w:r>
        <w:rPr>
          <w:sz w:val="28"/>
          <w:szCs w:val="28"/>
        </w:rPr>
        <w:t xml:space="preserve"> спрогнозирован в объеме 2641,0 млн. руб., </w:t>
      </w:r>
      <w:r w:rsidR="001F49A9">
        <w:rPr>
          <w:sz w:val="28"/>
          <w:szCs w:val="28"/>
        </w:rPr>
        <w:t>или</w:t>
      </w:r>
      <w:r>
        <w:rPr>
          <w:sz w:val="28"/>
          <w:szCs w:val="28"/>
        </w:rPr>
        <w:t xml:space="preserve"> выше оценочного показателя уровня</w:t>
      </w:r>
      <w:r w:rsidR="001F49A9">
        <w:rPr>
          <w:sz w:val="28"/>
          <w:szCs w:val="28"/>
        </w:rPr>
        <w:t xml:space="preserve"> на 01.01.</w:t>
      </w:r>
      <w:r>
        <w:rPr>
          <w:sz w:val="28"/>
          <w:szCs w:val="28"/>
        </w:rPr>
        <w:t>20</w:t>
      </w:r>
      <w:r w:rsidR="009C608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10%, что связано с ростом привлекаемых заемных средств</w:t>
      </w:r>
      <w:r w:rsidR="00A11F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1FEE">
        <w:rPr>
          <w:sz w:val="28"/>
          <w:szCs w:val="28"/>
        </w:rPr>
        <w:t>п</w:t>
      </w:r>
      <w:r w:rsidR="001F49A9">
        <w:rPr>
          <w:sz w:val="28"/>
          <w:szCs w:val="28"/>
        </w:rPr>
        <w:t xml:space="preserve">ри </w:t>
      </w:r>
      <w:r w:rsidR="00A11FEE">
        <w:rPr>
          <w:sz w:val="28"/>
          <w:szCs w:val="28"/>
        </w:rPr>
        <w:t>значительно</w:t>
      </w:r>
      <w:r w:rsidR="007E72A2">
        <w:rPr>
          <w:sz w:val="28"/>
          <w:szCs w:val="28"/>
        </w:rPr>
        <w:t>м</w:t>
      </w:r>
      <w:r w:rsidR="001F49A9">
        <w:rPr>
          <w:sz w:val="28"/>
          <w:szCs w:val="28"/>
        </w:rPr>
        <w:t xml:space="preserve"> </w:t>
      </w:r>
      <w:r w:rsidR="007E72A2">
        <w:rPr>
          <w:sz w:val="28"/>
          <w:szCs w:val="28"/>
        </w:rPr>
        <w:t>(</w:t>
      </w:r>
      <w:r>
        <w:rPr>
          <w:sz w:val="28"/>
          <w:szCs w:val="28"/>
        </w:rPr>
        <w:t>на 49,4%</w:t>
      </w:r>
      <w:r w:rsidR="007E72A2">
        <w:rPr>
          <w:sz w:val="28"/>
          <w:szCs w:val="28"/>
        </w:rPr>
        <w:t>)</w:t>
      </w:r>
      <w:r>
        <w:rPr>
          <w:sz w:val="28"/>
          <w:szCs w:val="28"/>
        </w:rPr>
        <w:t xml:space="preserve"> уменьш</w:t>
      </w:r>
      <w:r w:rsidR="007E72A2">
        <w:rPr>
          <w:sz w:val="28"/>
          <w:szCs w:val="28"/>
        </w:rPr>
        <w:t>ении</w:t>
      </w:r>
      <w:r>
        <w:rPr>
          <w:sz w:val="28"/>
          <w:szCs w:val="28"/>
        </w:rPr>
        <w:t xml:space="preserve"> обязательств</w:t>
      </w:r>
      <w:r w:rsidR="00F631E7">
        <w:rPr>
          <w:sz w:val="28"/>
          <w:szCs w:val="28"/>
        </w:rPr>
        <w:t xml:space="preserve"> по выданным муниципальным гарантиям. </w:t>
      </w:r>
    </w:p>
    <w:p w:rsidR="004E5B65" w:rsidRDefault="008E164B" w:rsidP="007021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631E7">
        <w:rPr>
          <w:sz w:val="28"/>
          <w:szCs w:val="28"/>
        </w:rPr>
        <w:t>ледует отметить, что объем муниципального долга на начало 2020 года не соответствует утвержденному верхнем</w:t>
      </w:r>
      <w:r w:rsidR="001F49A9">
        <w:rPr>
          <w:sz w:val="28"/>
          <w:szCs w:val="28"/>
        </w:rPr>
        <w:t xml:space="preserve">у пределу муниципального долга </w:t>
      </w:r>
      <w:proofErr w:type="gramStart"/>
      <w:r w:rsidR="00F631E7">
        <w:rPr>
          <w:sz w:val="28"/>
          <w:szCs w:val="28"/>
        </w:rPr>
        <w:t>на конец</w:t>
      </w:r>
      <w:proofErr w:type="gramEnd"/>
      <w:r w:rsidR="00F631E7">
        <w:rPr>
          <w:sz w:val="28"/>
          <w:szCs w:val="28"/>
        </w:rPr>
        <w:t xml:space="preserve"> 2019 года на сумму</w:t>
      </w:r>
      <w:r w:rsidR="001F49A9">
        <w:rPr>
          <w:sz w:val="28"/>
          <w:szCs w:val="28"/>
        </w:rPr>
        <w:t xml:space="preserve"> 328,0 млн. рублей</w:t>
      </w:r>
      <w:r w:rsidR="00F631E7">
        <w:rPr>
          <w:sz w:val="28"/>
          <w:szCs w:val="28"/>
        </w:rPr>
        <w:t>.</w:t>
      </w:r>
      <w:r w:rsidR="00E72E06">
        <w:rPr>
          <w:sz w:val="28"/>
          <w:szCs w:val="28"/>
        </w:rPr>
        <w:t xml:space="preserve"> </w:t>
      </w:r>
      <w:proofErr w:type="gramStart"/>
      <w:r w:rsidR="00E72E06">
        <w:rPr>
          <w:sz w:val="28"/>
          <w:szCs w:val="28"/>
        </w:rPr>
        <w:t xml:space="preserve">Данная разница </w:t>
      </w:r>
      <w:r w:rsidR="00A11FEE">
        <w:rPr>
          <w:sz w:val="28"/>
          <w:szCs w:val="28"/>
        </w:rPr>
        <w:t>объясняется</w:t>
      </w:r>
      <w:r w:rsidR="00E72E06">
        <w:rPr>
          <w:sz w:val="28"/>
          <w:szCs w:val="28"/>
        </w:rPr>
        <w:t xml:space="preserve"> списани</w:t>
      </w:r>
      <w:r w:rsidR="00A11FEE">
        <w:rPr>
          <w:sz w:val="28"/>
          <w:szCs w:val="28"/>
        </w:rPr>
        <w:t>ем</w:t>
      </w:r>
      <w:r w:rsidR="00E72E06">
        <w:rPr>
          <w:sz w:val="28"/>
          <w:szCs w:val="28"/>
        </w:rPr>
        <w:t xml:space="preserve"> долговых обязательств, в связи с частичным исполнением МУП «</w:t>
      </w:r>
      <w:proofErr w:type="spellStart"/>
      <w:r w:rsidR="00E72E06">
        <w:rPr>
          <w:sz w:val="28"/>
          <w:szCs w:val="28"/>
        </w:rPr>
        <w:t>ЛиСА</w:t>
      </w:r>
      <w:proofErr w:type="spellEnd"/>
      <w:r w:rsidR="00E72E06">
        <w:rPr>
          <w:sz w:val="28"/>
          <w:szCs w:val="28"/>
        </w:rPr>
        <w:t>» своих обязательств, обеспеченных муниципальной гарантией на сумму 295,5 млн. руб.</w:t>
      </w:r>
      <w:r w:rsidR="001F49A9">
        <w:rPr>
          <w:sz w:val="28"/>
          <w:szCs w:val="28"/>
        </w:rPr>
        <w:t>,</w:t>
      </w:r>
      <w:r w:rsidR="00E72E06">
        <w:rPr>
          <w:sz w:val="28"/>
          <w:szCs w:val="28"/>
        </w:rPr>
        <w:t xml:space="preserve"> </w:t>
      </w:r>
      <w:r w:rsidR="001F49A9">
        <w:rPr>
          <w:sz w:val="28"/>
          <w:szCs w:val="28"/>
        </w:rPr>
        <w:t xml:space="preserve">исполнением </w:t>
      </w:r>
      <w:r w:rsidR="00A11FEE">
        <w:rPr>
          <w:sz w:val="28"/>
          <w:szCs w:val="28"/>
        </w:rPr>
        <w:t>за счет средств бюджета города</w:t>
      </w:r>
      <w:r w:rsidR="00E72E06">
        <w:rPr>
          <w:sz w:val="28"/>
          <w:szCs w:val="28"/>
        </w:rPr>
        <w:t xml:space="preserve"> обязательств</w:t>
      </w:r>
      <w:r w:rsidR="001F49A9">
        <w:rPr>
          <w:sz w:val="28"/>
          <w:szCs w:val="28"/>
        </w:rPr>
        <w:t xml:space="preserve"> перед ЕБРР</w:t>
      </w:r>
      <w:r w:rsidR="00E72E06">
        <w:rPr>
          <w:sz w:val="28"/>
          <w:szCs w:val="28"/>
        </w:rPr>
        <w:t xml:space="preserve"> по выданной гарантии </w:t>
      </w:r>
      <w:r w:rsidR="001F49A9">
        <w:rPr>
          <w:sz w:val="28"/>
          <w:szCs w:val="28"/>
        </w:rPr>
        <w:t>в</w:t>
      </w:r>
      <w:r w:rsidR="00E72E06">
        <w:rPr>
          <w:sz w:val="28"/>
          <w:szCs w:val="28"/>
        </w:rPr>
        <w:t xml:space="preserve"> объеме 16,5 млн. руб. </w:t>
      </w:r>
      <w:r w:rsidR="00B75F2B">
        <w:rPr>
          <w:sz w:val="28"/>
          <w:szCs w:val="28"/>
        </w:rPr>
        <w:t>и</w:t>
      </w:r>
      <w:r w:rsidR="00E72E06">
        <w:rPr>
          <w:sz w:val="28"/>
          <w:szCs w:val="28"/>
        </w:rPr>
        <w:t xml:space="preserve"> планируемы</w:t>
      </w:r>
      <w:r w:rsidR="001F49A9">
        <w:rPr>
          <w:sz w:val="28"/>
          <w:szCs w:val="28"/>
        </w:rPr>
        <w:t xml:space="preserve">м </w:t>
      </w:r>
      <w:r w:rsidR="00E72E06">
        <w:rPr>
          <w:sz w:val="28"/>
          <w:szCs w:val="28"/>
        </w:rPr>
        <w:t>очередн</w:t>
      </w:r>
      <w:r w:rsidR="001F49A9">
        <w:rPr>
          <w:sz w:val="28"/>
          <w:szCs w:val="28"/>
        </w:rPr>
        <w:t>ым</w:t>
      </w:r>
      <w:r w:rsidR="00E72E06">
        <w:rPr>
          <w:sz w:val="28"/>
          <w:szCs w:val="28"/>
        </w:rPr>
        <w:t xml:space="preserve"> платеж</w:t>
      </w:r>
      <w:r w:rsidR="001F49A9">
        <w:rPr>
          <w:sz w:val="28"/>
          <w:szCs w:val="28"/>
        </w:rPr>
        <w:t>ом в</w:t>
      </w:r>
      <w:r>
        <w:rPr>
          <w:sz w:val="28"/>
          <w:szCs w:val="28"/>
        </w:rPr>
        <w:t xml:space="preserve"> этом же размере в</w:t>
      </w:r>
      <w:r w:rsidR="001F49A9">
        <w:rPr>
          <w:sz w:val="28"/>
          <w:szCs w:val="28"/>
        </w:rPr>
        <w:t xml:space="preserve"> ноябре текущего года</w:t>
      </w:r>
      <w:r w:rsidR="00E72E06">
        <w:rPr>
          <w:sz w:val="28"/>
          <w:szCs w:val="28"/>
        </w:rPr>
        <w:t>.</w:t>
      </w:r>
      <w:proofErr w:type="gramEnd"/>
      <w:r w:rsidR="00E72E06">
        <w:rPr>
          <w:sz w:val="28"/>
          <w:szCs w:val="28"/>
        </w:rPr>
        <w:t xml:space="preserve"> Однако,</w:t>
      </w:r>
      <w:r>
        <w:rPr>
          <w:sz w:val="28"/>
          <w:szCs w:val="28"/>
        </w:rPr>
        <w:t xml:space="preserve"> </w:t>
      </w:r>
      <w:r w:rsidR="00A11FEE">
        <w:rPr>
          <w:sz w:val="28"/>
          <w:szCs w:val="28"/>
        </w:rPr>
        <w:t>по условиям гарантии</w:t>
      </w:r>
      <w:r w:rsidR="00E72E06">
        <w:rPr>
          <w:sz w:val="28"/>
          <w:szCs w:val="28"/>
        </w:rPr>
        <w:t xml:space="preserve">, </w:t>
      </w:r>
      <w:r w:rsidR="001F49A9">
        <w:rPr>
          <w:sz w:val="28"/>
          <w:szCs w:val="28"/>
        </w:rPr>
        <w:t>порядок общей ответственности Г</w:t>
      </w:r>
      <w:r w:rsidR="00E72E06">
        <w:rPr>
          <w:sz w:val="28"/>
          <w:szCs w:val="28"/>
        </w:rPr>
        <w:t xml:space="preserve">аранта перед </w:t>
      </w:r>
      <w:r w:rsidR="00125B4A">
        <w:rPr>
          <w:sz w:val="28"/>
          <w:szCs w:val="28"/>
        </w:rPr>
        <w:t xml:space="preserve">Банком не </w:t>
      </w:r>
      <w:r w:rsidR="00A11FEE">
        <w:rPr>
          <w:sz w:val="28"/>
          <w:szCs w:val="28"/>
        </w:rPr>
        <w:t xml:space="preserve">разграничен </w:t>
      </w:r>
      <w:r w:rsidR="00125B4A">
        <w:rPr>
          <w:sz w:val="28"/>
          <w:szCs w:val="28"/>
        </w:rPr>
        <w:t>отдельно</w:t>
      </w:r>
      <w:r w:rsidR="00A11FEE">
        <w:rPr>
          <w:sz w:val="28"/>
          <w:szCs w:val="28"/>
        </w:rPr>
        <w:t xml:space="preserve"> на</w:t>
      </w:r>
      <w:r w:rsidR="00125B4A">
        <w:rPr>
          <w:sz w:val="28"/>
          <w:szCs w:val="28"/>
        </w:rPr>
        <w:t xml:space="preserve"> сумм</w:t>
      </w:r>
      <w:r w:rsidR="00A11FEE">
        <w:rPr>
          <w:sz w:val="28"/>
          <w:szCs w:val="28"/>
        </w:rPr>
        <w:t>у</w:t>
      </w:r>
      <w:r w:rsidR="00125B4A">
        <w:rPr>
          <w:sz w:val="28"/>
          <w:szCs w:val="28"/>
        </w:rPr>
        <w:t xml:space="preserve"> основного долга и</w:t>
      </w:r>
      <w:r w:rsidR="00A11FEE">
        <w:rPr>
          <w:sz w:val="28"/>
          <w:szCs w:val="28"/>
        </w:rPr>
        <w:t xml:space="preserve"> сумму</w:t>
      </w:r>
      <w:r w:rsidR="00125B4A">
        <w:rPr>
          <w:sz w:val="28"/>
          <w:szCs w:val="28"/>
        </w:rPr>
        <w:t xml:space="preserve"> прочих обязательств</w:t>
      </w:r>
      <w:r w:rsidR="009C6082">
        <w:rPr>
          <w:sz w:val="28"/>
          <w:szCs w:val="28"/>
        </w:rPr>
        <w:t>,</w:t>
      </w:r>
      <w:r w:rsidR="00125B4A">
        <w:rPr>
          <w:sz w:val="28"/>
          <w:szCs w:val="28"/>
        </w:rPr>
        <w:t xml:space="preserve"> что не позволяет уменьш</w:t>
      </w:r>
      <w:r>
        <w:rPr>
          <w:sz w:val="28"/>
          <w:szCs w:val="28"/>
        </w:rPr>
        <w:t>а</w:t>
      </w:r>
      <w:r w:rsidR="00125B4A">
        <w:rPr>
          <w:sz w:val="28"/>
          <w:szCs w:val="28"/>
        </w:rPr>
        <w:t>ть сумм</w:t>
      </w:r>
      <w:r w:rsidR="007E72A2">
        <w:rPr>
          <w:sz w:val="28"/>
          <w:szCs w:val="28"/>
        </w:rPr>
        <w:t>у</w:t>
      </w:r>
      <w:r w:rsidR="00125B4A">
        <w:rPr>
          <w:sz w:val="28"/>
          <w:szCs w:val="28"/>
        </w:rPr>
        <w:t xml:space="preserve"> гарантии по мере частичного погашения </w:t>
      </w:r>
      <w:r>
        <w:rPr>
          <w:sz w:val="28"/>
          <w:szCs w:val="28"/>
        </w:rPr>
        <w:t>обяза</w:t>
      </w:r>
      <w:r w:rsidR="00B75F2B">
        <w:rPr>
          <w:sz w:val="28"/>
          <w:szCs w:val="28"/>
        </w:rPr>
        <w:t xml:space="preserve">тельств </w:t>
      </w:r>
      <w:r w:rsidR="00125B4A">
        <w:rPr>
          <w:sz w:val="28"/>
          <w:szCs w:val="28"/>
        </w:rPr>
        <w:t>Заемщиком.</w:t>
      </w:r>
    </w:p>
    <w:p w:rsidR="00165C8B" w:rsidRDefault="00A11FEE" w:rsidP="007021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 имеется</w:t>
      </w:r>
      <w:r w:rsidR="006E2164">
        <w:rPr>
          <w:sz w:val="28"/>
          <w:szCs w:val="28"/>
        </w:rPr>
        <w:t xml:space="preserve"> согласия</w:t>
      </w:r>
      <w:r w:rsidR="00165C8B">
        <w:rPr>
          <w:sz w:val="28"/>
          <w:szCs w:val="28"/>
        </w:rPr>
        <w:t xml:space="preserve"> ЕБРР </w:t>
      </w:r>
      <w:r w:rsidR="00AC5E7F">
        <w:rPr>
          <w:sz w:val="28"/>
          <w:szCs w:val="28"/>
        </w:rPr>
        <w:t>на освобождение</w:t>
      </w:r>
      <w:r w:rsidR="00165C8B">
        <w:rPr>
          <w:sz w:val="28"/>
          <w:szCs w:val="28"/>
        </w:rPr>
        <w:t xml:space="preserve"> </w:t>
      </w:r>
      <w:r w:rsidR="009C6082">
        <w:rPr>
          <w:sz w:val="28"/>
          <w:szCs w:val="28"/>
        </w:rPr>
        <w:t>Г</w:t>
      </w:r>
      <w:r w:rsidR="00165C8B">
        <w:rPr>
          <w:sz w:val="28"/>
          <w:szCs w:val="28"/>
        </w:rPr>
        <w:t>аранта  от обязательств на сумму погашенн</w:t>
      </w:r>
      <w:r w:rsidR="006E2164">
        <w:rPr>
          <w:sz w:val="28"/>
          <w:szCs w:val="28"/>
        </w:rPr>
        <w:t>ых</w:t>
      </w:r>
      <w:r w:rsidR="00165C8B">
        <w:rPr>
          <w:sz w:val="28"/>
          <w:szCs w:val="28"/>
        </w:rPr>
        <w:t xml:space="preserve"> </w:t>
      </w:r>
      <w:r w:rsidR="006E2164">
        <w:rPr>
          <w:sz w:val="28"/>
          <w:szCs w:val="28"/>
        </w:rPr>
        <w:t>заемщиком</w:t>
      </w:r>
      <w:r w:rsidR="00165C8B">
        <w:rPr>
          <w:sz w:val="28"/>
          <w:szCs w:val="28"/>
        </w:rPr>
        <w:t xml:space="preserve"> </w:t>
      </w:r>
      <w:r w:rsidR="00AC5E7F">
        <w:rPr>
          <w:sz w:val="28"/>
          <w:szCs w:val="28"/>
        </w:rPr>
        <w:t>средств</w:t>
      </w:r>
      <w:r w:rsidR="00165C8B">
        <w:rPr>
          <w:sz w:val="28"/>
          <w:szCs w:val="28"/>
        </w:rPr>
        <w:t>. Списание</w:t>
      </w:r>
      <w:r w:rsidR="009C6082">
        <w:rPr>
          <w:sz w:val="28"/>
          <w:szCs w:val="28"/>
        </w:rPr>
        <w:t xml:space="preserve"> муниципального</w:t>
      </w:r>
      <w:r w:rsidR="009F7D73">
        <w:rPr>
          <w:sz w:val="28"/>
          <w:szCs w:val="28"/>
        </w:rPr>
        <w:t xml:space="preserve"> долга использовано</w:t>
      </w:r>
      <w:r w:rsidR="006E2164">
        <w:rPr>
          <w:sz w:val="28"/>
          <w:szCs w:val="28"/>
        </w:rPr>
        <w:t xml:space="preserve"> как </w:t>
      </w:r>
      <w:r w:rsidR="009F7D73">
        <w:rPr>
          <w:sz w:val="28"/>
          <w:szCs w:val="28"/>
        </w:rPr>
        <w:t>необходимый инструмент</w:t>
      </w:r>
      <w:r w:rsidR="009C6082">
        <w:rPr>
          <w:sz w:val="28"/>
          <w:szCs w:val="28"/>
        </w:rPr>
        <w:t xml:space="preserve"> </w:t>
      </w:r>
      <w:r w:rsidR="00165C8B">
        <w:rPr>
          <w:sz w:val="28"/>
          <w:szCs w:val="28"/>
        </w:rPr>
        <w:t xml:space="preserve">для улучшения </w:t>
      </w:r>
      <w:r w:rsidR="00AC5E7F">
        <w:rPr>
          <w:sz w:val="28"/>
          <w:szCs w:val="28"/>
        </w:rPr>
        <w:t>показателей</w:t>
      </w:r>
      <w:r w:rsidR="00165C8B">
        <w:rPr>
          <w:sz w:val="28"/>
          <w:szCs w:val="28"/>
        </w:rPr>
        <w:t xml:space="preserve"> долговой устойчивости города.</w:t>
      </w:r>
    </w:p>
    <w:p w:rsidR="006E2164" w:rsidRDefault="00117BDF" w:rsidP="00117BDF">
      <w:pPr>
        <w:suppressAutoHyphens/>
        <w:ind w:firstLine="709"/>
        <w:jc w:val="both"/>
        <w:rPr>
          <w:sz w:val="28"/>
          <w:szCs w:val="28"/>
        </w:rPr>
      </w:pPr>
      <w:r w:rsidRPr="00117BDF">
        <w:rPr>
          <w:sz w:val="28"/>
          <w:szCs w:val="28"/>
        </w:rPr>
        <w:t>В течение 20</w:t>
      </w:r>
      <w:r>
        <w:rPr>
          <w:sz w:val="28"/>
          <w:szCs w:val="28"/>
        </w:rPr>
        <w:t>20</w:t>
      </w:r>
      <w:r w:rsidRPr="00117BDF">
        <w:rPr>
          <w:sz w:val="28"/>
          <w:szCs w:val="28"/>
        </w:rPr>
        <w:t xml:space="preserve"> года планируется привлечь кредит</w:t>
      </w:r>
      <w:r w:rsidR="00AC5E7F">
        <w:rPr>
          <w:sz w:val="28"/>
          <w:szCs w:val="28"/>
        </w:rPr>
        <w:t>ы</w:t>
      </w:r>
      <w:r w:rsidRPr="00117BD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1300</w:t>
      </w:r>
      <w:r w:rsidRPr="00117BDF">
        <w:rPr>
          <w:sz w:val="28"/>
          <w:szCs w:val="28"/>
        </w:rPr>
        <w:t xml:space="preserve">,0 млн. руб., в том числе кредиты кредитных организаций в объеме </w:t>
      </w:r>
      <w:r w:rsidR="009C608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B75F2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17BDF">
        <w:rPr>
          <w:sz w:val="28"/>
          <w:szCs w:val="28"/>
        </w:rPr>
        <w:t>,0 млн. руб. и краткосрочный бюджетный кредит из средств областного бюджета – 200,0 млн. рублей. Часть кредитов</w:t>
      </w:r>
      <w:r w:rsidR="00AC5E7F">
        <w:rPr>
          <w:sz w:val="28"/>
          <w:szCs w:val="28"/>
        </w:rPr>
        <w:t xml:space="preserve"> в объеме 1000,0 млн. руб.</w:t>
      </w:r>
      <w:r w:rsidRPr="00117BDF">
        <w:rPr>
          <w:sz w:val="28"/>
          <w:szCs w:val="28"/>
        </w:rPr>
        <w:t xml:space="preserve"> планируется направить на погашение действующих долговых обязательств</w:t>
      </w:r>
      <w:r w:rsidR="006E2164">
        <w:rPr>
          <w:sz w:val="28"/>
          <w:szCs w:val="28"/>
        </w:rPr>
        <w:t>.</w:t>
      </w:r>
    </w:p>
    <w:p w:rsidR="00117BDF" w:rsidRDefault="00117BDF" w:rsidP="00117BDF">
      <w:pPr>
        <w:suppressAutoHyphens/>
        <w:ind w:firstLine="709"/>
        <w:jc w:val="both"/>
        <w:rPr>
          <w:sz w:val="28"/>
          <w:szCs w:val="28"/>
        </w:rPr>
      </w:pPr>
      <w:r w:rsidRPr="00117BDF">
        <w:rPr>
          <w:sz w:val="28"/>
          <w:szCs w:val="28"/>
        </w:rPr>
        <w:lastRenderedPageBreak/>
        <w:t xml:space="preserve">Верхний предел муниципального долга </w:t>
      </w:r>
      <w:r w:rsidRPr="00117BDF">
        <w:rPr>
          <w:i/>
          <w:sz w:val="28"/>
          <w:szCs w:val="28"/>
        </w:rPr>
        <w:t xml:space="preserve">по муниципальным гарантиям </w:t>
      </w:r>
      <w:r w:rsidRPr="00117BDF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20</w:t>
      </w:r>
      <w:r w:rsidR="009C6082">
        <w:rPr>
          <w:sz w:val="28"/>
          <w:szCs w:val="28"/>
        </w:rPr>
        <w:t xml:space="preserve"> </w:t>
      </w:r>
      <w:r w:rsidRPr="00117BDF">
        <w:rPr>
          <w:sz w:val="28"/>
          <w:szCs w:val="28"/>
        </w:rPr>
        <w:t>года  утвержден в сумме 450,4 млн. руб. по состоянию на 01.01.2021 года</w:t>
      </w:r>
      <w:r>
        <w:rPr>
          <w:sz w:val="28"/>
          <w:szCs w:val="28"/>
        </w:rPr>
        <w:t xml:space="preserve">- 62,0 млн. руб., а по состоянию на 01.01.2022 </w:t>
      </w:r>
      <w:r w:rsidR="002866D6">
        <w:rPr>
          <w:sz w:val="28"/>
          <w:szCs w:val="28"/>
        </w:rPr>
        <w:t>долговые обязательства в виде муниципальной гарантии не запланированы</w:t>
      </w:r>
      <w:r w:rsidRPr="00117BDF">
        <w:rPr>
          <w:sz w:val="28"/>
          <w:szCs w:val="28"/>
        </w:rPr>
        <w:t xml:space="preserve">. </w:t>
      </w:r>
    </w:p>
    <w:p w:rsidR="00117BDF" w:rsidRDefault="00117BDF" w:rsidP="002866D6">
      <w:pPr>
        <w:suppressAutoHyphens/>
        <w:ind w:firstLine="709"/>
        <w:jc w:val="both"/>
        <w:rPr>
          <w:sz w:val="28"/>
          <w:szCs w:val="28"/>
        </w:rPr>
      </w:pPr>
      <w:r w:rsidRPr="00117BDF">
        <w:rPr>
          <w:sz w:val="28"/>
          <w:szCs w:val="28"/>
        </w:rPr>
        <w:t xml:space="preserve">В бюджете города предусматриваются бюджетные ассигнования на </w:t>
      </w:r>
      <w:r w:rsidR="002866D6">
        <w:rPr>
          <w:sz w:val="28"/>
          <w:szCs w:val="28"/>
        </w:rPr>
        <w:t>выплаты</w:t>
      </w:r>
      <w:r w:rsidRPr="00117BDF">
        <w:rPr>
          <w:sz w:val="28"/>
          <w:szCs w:val="28"/>
        </w:rPr>
        <w:t xml:space="preserve"> по возможным гарантийным случаям</w:t>
      </w:r>
      <w:r w:rsidR="002866D6">
        <w:rPr>
          <w:sz w:val="28"/>
          <w:szCs w:val="28"/>
        </w:rPr>
        <w:t xml:space="preserve"> в</w:t>
      </w:r>
      <w:r w:rsidRPr="00117BD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17BDF">
        <w:rPr>
          <w:sz w:val="28"/>
          <w:szCs w:val="28"/>
        </w:rPr>
        <w:t xml:space="preserve"> год</w:t>
      </w:r>
      <w:r w:rsidR="002866D6">
        <w:rPr>
          <w:sz w:val="28"/>
          <w:szCs w:val="28"/>
        </w:rPr>
        <w:t>у</w:t>
      </w:r>
      <w:r w:rsidRPr="00117BDF">
        <w:rPr>
          <w:sz w:val="28"/>
          <w:szCs w:val="28"/>
        </w:rPr>
        <w:t xml:space="preserve"> </w:t>
      </w:r>
      <w:r w:rsidR="002866D6">
        <w:rPr>
          <w:sz w:val="28"/>
          <w:szCs w:val="28"/>
        </w:rPr>
        <w:t xml:space="preserve">в сумме </w:t>
      </w:r>
      <w:r w:rsidRPr="00117BDF">
        <w:rPr>
          <w:sz w:val="28"/>
          <w:szCs w:val="28"/>
        </w:rPr>
        <w:t>6</w:t>
      </w:r>
      <w:r>
        <w:rPr>
          <w:sz w:val="28"/>
          <w:szCs w:val="28"/>
        </w:rPr>
        <w:t xml:space="preserve">0,4 </w:t>
      </w:r>
      <w:r w:rsidRPr="00117BDF">
        <w:rPr>
          <w:sz w:val="28"/>
          <w:szCs w:val="28"/>
        </w:rPr>
        <w:t xml:space="preserve">млн. </w:t>
      </w:r>
      <w:r w:rsidR="007E72A2" w:rsidRPr="00117BDF">
        <w:rPr>
          <w:sz w:val="28"/>
          <w:szCs w:val="28"/>
        </w:rPr>
        <w:t>руб.</w:t>
      </w:r>
      <w:r w:rsidR="007E72A2">
        <w:rPr>
          <w:sz w:val="28"/>
          <w:szCs w:val="28"/>
        </w:rPr>
        <w:t>, в</w:t>
      </w:r>
      <w:r>
        <w:rPr>
          <w:sz w:val="28"/>
          <w:szCs w:val="28"/>
        </w:rPr>
        <w:t xml:space="preserve"> 2021 – 14,1 млн. рублей</w:t>
      </w:r>
      <w:r w:rsidRPr="00117BDF">
        <w:rPr>
          <w:sz w:val="28"/>
          <w:szCs w:val="28"/>
        </w:rPr>
        <w:t>.</w:t>
      </w:r>
      <w:r w:rsidR="002866D6">
        <w:rPr>
          <w:sz w:val="28"/>
          <w:szCs w:val="28"/>
        </w:rPr>
        <w:t xml:space="preserve"> В</w:t>
      </w:r>
      <w:r w:rsidR="00621F28">
        <w:rPr>
          <w:sz w:val="28"/>
          <w:szCs w:val="28"/>
        </w:rPr>
        <w:t xml:space="preserve"> 2021 году, при соблюдении всех условий, предусмотренных соглашением о предоставлении муниципальной гарантии, заканчивается срок действия гарантии, выданной МУП «</w:t>
      </w:r>
      <w:proofErr w:type="spellStart"/>
      <w:r w:rsidR="00621F28">
        <w:rPr>
          <w:sz w:val="28"/>
          <w:szCs w:val="28"/>
        </w:rPr>
        <w:t>ЛиСА</w:t>
      </w:r>
      <w:proofErr w:type="spellEnd"/>
      <w:r w:rsidR="00621F28">
        <w:rPr>
          <w:sz w:val="28"/>
          <w:szCs w:val="28"/>
        </w:rPr>
        <w:t>» и прекращаются гарантийные обязательства города перед ЕБРР.</w:t>
      </w:r>
    </w:p>
    <w:p w:rsidR="00621F28" w:rsidRDefault="00621F28" w:rsidP="00117BD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сумма бюджетных ассигнований, предусмотренных на исполнение гарантий по возможным гарантийным случаям на 2021 год в </w:t>
      </w:r>
      <w:r w:rsidR="001234E7">
        <w:rPr>
          <w:sz w:val="28"/>
          <w:szCs w:val="28"/>
        </w:rPr>
        <w:t>объеме 14,1 млн. руб. не соотве</w:t>
      </w:r>
      <w:r>
        <w:rPr>
          <w:sz w:val="28"/>
          <w:szCs w:val="28"/>
        </w:rPr>
        <w:t>тствует объему муниципального долга по выданной гарантии МУП «</w:t>
      </w:r>
      <w:proofErr w:type="spellStart"/>
      <w:r>
        <w:rPr>
          <w:sz w:val="28"/>
          <w:szCs w:val="28"/>
        </w:rPr>
        <w:t>ЛиСА</w:t>
      </w:r>
      <w:proofErr w:type="spellEnd"/>
      <w:r>
        <w:rPr>
          <w:sz w:val="28"/>
          <w:szCs w:val="28"/>
        </w:rPr>
        <w:t>» на этот год, который составляет 62,0 млн. рублей. Данный факт ещё раз подтверждает отсутстви</w:t>
      </w:r>
      <w:r w:rsidR="001234E7">
        <w:rPr>
          <w:sz w:val="28"/>
          <w:szCs w:val="28"/>
        </w:rPr>
        <w:t>е</w:t>
      </w:r>
      <w:r>
        <w:rPr>
          <w:sz w:val="28"/>
          <w:szCs w:val="28"/>
        </w:rPr>
        <w:t xml:space="preserve"> последовательности в совершении </w:t>
      </w:r>
      <w:r w:rsidR="00CE70A1">
        <w:rPr>
          <w:sz w:val="28"/>
          <w:szCs w:val="28"/>
        </w:rPr>
        <w:t>операций по с</w:t>
      </w:r>
      <w:r w:rsidR="007B2E83">
        <w:rPr>
          <w:sz w:val="28"/>
          <w:szCs w:val="28"/>
        </w:rPr>
        <w:t xml:space="preserve">писанию </w:t>
      </w:r>
      <w:r w:rsidR="00CE70A1">
        <w:rPr>
          <w:sz w:val="28"/>
          <w:szCs w:val="28"/>
        </w:rPr>
        <w:t>долговых обязательств.</w:t>
      </w:r>
    </w:p>
    <w:p w:rsidR="00621F28" w:rsidRDefault="00D166D2" w:rsidP="00117BD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2020 года внесены изменения </w:t>
      </w:r>
      <w:r w:rsidR="006373C3">
        <w:rPr>
          <w:sz w:val="28"/>
          <w:szCs w:val="28"/>
        </w:rPr>
        <w:t>в Программу в</w:t>
      </w:r>
      <w:r w:rsidR="009C6082">
        <w:rPr>
          <w:sz w:val="28"/>
          <w:szCs w:val="28"/>
        </w:rPr>
        <w:t>нутренних заимствований бюджета.</w:t>
      </w:r>
      <w:r w:rsidR="006373C3">
        <w:rPr>
          <w:sz w:val="28"/>
          <w:szCs w:val="28"/>
        </w:rPr>
        <w:t xml:space="preserve"> </w:t>
      </w:r>
      <w:r w:rsidR="009C6082">
        <w:rPr>
          <w:sz w:val="28"/>
          <w:szCs w:val="28"/>
        </w:rPr>
        <w:t>Т</w:t>
      </w:r>
      <w:r w:rsidR="006373C3">
        <w:rPr>
          <w:sz w:val="28"/>
          <w:szCs w:val="28"/>
        </w:rPr>
        <w:t>ак</w:t>
      </w:r>
      <w:r w:rsidR="009C6082">
        <w:rPr>
          <w:sz w:val="28"/>
          <w:szCs w:val="28"/>
        </w:rPr>
        <w:t>,</w:t>
      </w:r>
      <w:r w:rsidR="006373C3">
        <w:rPr>
          <w:sz w:val="28"/>
          <w:szCs w:val="28"/>
        </w:rPr>
        <w:t xml:space="preserve"> в соответствии со ст. 110.1 БК РФ, предусматривается отражение предельного срока погашения долговых обязательств, возникающих при осуществлении внутренних заимствований в очередном финансовом году и плановом периоде по видам соответствующих долговых обязательств.</w:t>
      </w:r>
    </w:p>
    <w:p w:rsidR="00404363" w:rsidRPr="00404363" w:rsidRDefault="00404363" w:rsidP="0040436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E70A1">
        <w:rPr>
          <w:sz w:val="28"/>
          <w:szCs w:val="28"/>
        </w:rPr>
        <w:t>Статьей 7</w:t>
      </w:r>
      <w:r w:rsidRPr="00404363">
        <w:rPr>
          <w:sz w:val="28"/>
          <w:szCs w:val="28"/>
        </w:rPr>
        <w:t xml:space="preserve"> проекта бюджета на 20</w:t>
      </w:r>
      <w:r>
        <w:rPr>
          <w:sz w:val="28"/>
          <w:szCs w:val="28"/>
        </w:rPr>
        <w:t>20</w:t>
      </w:r>
      <w:r w:rsidRPr="00404363">
        <w:rPr>
          <w:sz w:val="28"/>
          <w:szCs w:val="28"/>
        </w:rPr>
        <w:t xml:space="preserve"> год в соответствии со статьями 78 и 78.1 БК РФ определен </w:t>
      </w:r>
      <w:r w:rsidRPr="00CE70A1">
        <w:rPr>
          <w:b/>
          <w:i/>
          <w:sz w:val="28"/>
          <w:szCs w:val="28"/>
        </w:rPr>
        <w:t>объем</w:t>
      </w:r>
      <w:r w:rsidRPr="00404363">
        <w:rPr>
          <w:sz w:val="28"/>
          <w:szCs w:val="28"/>
        </w:rPr>
        <w:t xml:space="preserve">  </w:t>
      </w:r>
      <w:r w:rsidRPr="00404363">
        <w:rPr>
          <w:b/>
          <w:i/>
          <w:sz w:val="28"/>
          <w:szCs w:val="28"/>
        </w:rPr>
        <w:t>субсидий юридическим лицам</w:t>
      </w:r>
      <w:r w:rsidRPr="00404363"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лицам, некоммерческим организациям, не являющимся муниципальными учреждениями (кроме субсидий на осуществление капитальных вложений в объекты капитального строительства муниципальной собственности</w:t>
      </w:r>
      <w:r w:rsidR="006E32F9">
        <w:rPr>
          <w:sz w:val="28"/>
          <w:szCs w:val="28"/>
        </w:rPr>
        <w:t>,</w:t>
      </w:r>
      <w:r w:rsidRPr="00404363">
        <w:rPr>
          <w:sz w:val="28"/>
          <w:szCs w:val="28"/>
        </w:rPr>
        <w:t xml:space="preserve"> или приобретение объектов недвижимого имущества в муниципальную собственность) (далее - субсидии) в</w:t>
      </w:r>
      <w:proofErr w:type="gramEnd"/>
      <w:r w:rsidRPr="00404363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345,6</w:t>
      </w:r>
      <w:r w:rsidRPr="00404363">
        <w:rPr>
          <w:sz w:val="28"/>
          <w:szCs w:val="28"/>
        </w:rPr>
        <w:t xml:space="preserve"> млн. руб., что на </w:t>
      </w:r>
      <w:r>
        <w:rPr>
          <w:sz w:val="28"/>
          <w:szCs w:val="28"/>
        </w:rPr>
        <w:t>337,2</w:t>
      </w:r>
      <w:r w:rsidRPr="00404363">
        <w:rPr>
          <w:sz w:val="28"/>
          <w:szCs w:val="28"/>
        </w:rPr>
        <w:t xml:space="preserve"> млн. руб. (или в 2</w:t>
      </w:r>
      <w:r>
        <w:rPr>
          <w:sz w:val="28"/>
          <w:szCs w:val="28"/>
        </w:rPr>
        <w:t xml:space="preserve"> </w:t>
      </w:r>
      <w:r w:rsidRPr="00404363">
        <w:rPr>
          <w:sz w:val="28"/>
          <w:szCs w:val="28"/>
        </w:rPr>
        <w:t xml:space="preserve">раза) меньше </w:t>
      </w:r>
      <w:r w:rsidR="00CE70A1">
        <w:rPr>
          <w:sz w:val="28"/>
          <w:szCs w:val="28"/>
        </w:rPr>
        <w:t>размера субсидий</w:t>
      </w:r>
      <w:r w:rsidRPr="0040436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04363">
        <w:rPr>
          <w:sz w:val="28"/>
          <w:szCs w:val="28"/>
        </w:rPr>
        <w:t xml:space="preserve"> года. </w:t>
      </w:r>
    </w:p>
    <w:p w:rsidR="00404363" w:rsidRPr="00404363" w:rsidRDefault="00404363" w:rsidP="00404363">
      <w:pPr>
        <w:suppressAutoHyphens/>
        <w:ind w:firstLine="709"/>
        <w:jc w:val="both"/>
        <w:rPr>
          <w:sz w:val="28"/>
          <w:szCs w:val="28"/>
        </w:rPr>
      </w:pPr>
      <w:r w:rsidRPr="00404363">
        <w:rPr>
          <w:sz w:val="28"/>
          <w:szCs w:val="28"/>
        </w:rPr>
        <w:t>На 20</w:t>
      </w:r>
      <w:r w:rsidR="009641C1">
        <w:rPr>
          <w:sz w:val="28"/>
          <w:szCs w:val="28"/>
        </w:rPr>
        <w:t>20</w:t>
      </w:r>
      <w:r w:rsidRPr="00404363">
        <w:rPr>
          <w:sz w:val="28"/>
          <w:szCs w:val="28"/>
        </w:rPr>
        <w:t xml:space="preserve"> год запланировано предоставление 1</w:t>
      </w:r>
      <w:r w:rsidR="009641C1">
        <w:rPr>
          <w:sz w:val="28"/>
          <w:szCs w:val="28"/>
        </w:rPr>
        <w:t>6</w:t>
      </w:r>
      <w:r w:rsidRPr="00404363">
        <w:rPr>
          <w:sz w:val="28"/>
          <w:szCs w:val="28"/>
        </w:rPr>
        <w:t xml:space="preserve"> видов субсидий, что </w:t>
      </w:r>
      <w:r w:rsidR="00D166D2">
        <w:rPr>
          <w:sz w:val="28"/>
          <w:szCs w:val="28"/>
        </w:rPr>
        <w:t>на 2 субсидии</w:t>
      </w:r>
      <w:r w:rsidRPr="00404363">
        <w:rPr>
          <w:sz w:val="28"/>
          <w:szCs w:val="28"/>
        </w:rPr>
        <w:t xml:space="preserve"> меньше</w:t>
      </w:r>
      <w:r w:rsidR="00D166D2">
        <w:rPr>
          <w:sz w:val="28"/>
          <w:szCs w:val="28"/>
        </w:rPr>
        <w:t>,</w:t>
      </w:r>
      <w:r w:rsidRPr="00404363">
        <w:rPr>
          <w:sz w:val="28"/>
          <w:szCs w:val="28"/>
        </w:rPr>
        <w:t xml:space="preserve"> </w:t>
      </w:r>
      <w:r w:rsidR="00D166D2">
        <w:rPr>
          <w:sz w:val="28"/>
          <w:szCs w:val="28"/>
        </w:rPr>
        <w:t>чем в текущем году</w:t>
      </w:r>
      <w:r w:rsidRPr="00404363">
        <w:rPr>
          <w:sz w:val="28"/>
          <w:szCs w:val="28"/>
        </w:rPr>
        <w:t>.</w:t>
      </w:r>
    </w:p>
    <w:p w:rsidR="00404363" w:rsidRPr="00404363" w:rsidRDefault="009641C1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предусмотрена</w:t>
      </w:r>
      <w:r w:rsidR="00404363" w:rsidRPr="00404363">
        <w:rPr>
          <w:sz w:val="28"/>
          <w:szCs w:val="28"/>
        </w:rPr>
        <w:t xml:space="preserve"> субсидия </w:t>
      </w:r>
      <w:r w:rsidR="00404363" w:rsidRPr="00404363">
        <w:rPr>
          <w:bCs/>
          <w:sz w:val="28"/>
          <w:szCs w:val="28"/>
        </w:rPr>
        <w:t xml:space="preserve"> на возмещение части затрат, связанных  с приобретением подвижного состава для осуществления перевозок пассажиров автомобильным и городским наземным электрическим транспортом</w:t>
      </w:r>
      <w:r w:rsidR="00D166D2">
        <w:rPr>
          <w:bCs/>
          <w:sz w:val="28"/>
          <w:szCs w:val="28"/>
        </w:rPr>
        <w:t>,</w:t>
      </w:r>
      <w:r w:rsidR="00404363" w:rsidRPr="00404363">
        <w:rPr>
          <w:bCs/>
          <w:sz w:val="28"/>
          <w:szCs w:val="28"/>
        </w:rPr>
        <w:t xml:space="preserve">  </w:t>
      </w:r>
      <w:r w:rsidR="00D166D2">
        <w:rPr>
          <w:bCs/>
          <w:sz w:val="28"/>
          <w:szCs w:val="28"/>
        </w:rPr>
        <w:t>размер которой в текущем году</w:t>
      </w:r>
      <w:r>
        <w:rPr>
          <w:bCs/>
          <w:sz w:val="28"/>
          <w:szCs w:val="28"/>
        </w:rPr>
        <w:t xml:space="preserve"> составляет 182,1 млн. руб</w:t>
      </w:r>
      <w:r w:rsidR="00D166D2">
        <w:rPr>
          <w:bCs/>
          <w:sz w:val="28"/>
          <w:szCs w:val="28"/>
        </w:rPr>
        <w:t>лей.</w:t>
      </w:r>
    </w:p>
    <w:p w:rsidR="00404363" w:rsidRDefault="00083B04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не предусмотрена с</w:t>
      </w:r>
      <w:r w:rsidR="00404363" w:rsidRPr="00404363">
        <w:rPr>
          <w:bCs/>
          <w:sz w:val="28"/>
          <w:szCs w:val="28"/>
        </w:rPr>
        <w:t>убсиди</w:t>
      </w:r>
      <w:r>
        <w:rPr>
          <w:bCs/>
          <w:sz w:val="28"/>
          <w:szCs w:val="28"/>
        </w:rPr>
        <w:t>я</w:t>
      </w:r>
      <w:r w:rsidR="00404363" w:rsidRPr="00404363">
        <w:rPr>
          <w:bCs/>
          <w:sz w:val="28"/>
          <w:szCs w:val="28"/>
        </w:rPr>
        <w:t xml:space="preserve"> на возмещение затрат, связанных с </w:t>
      </w:r>
      <w:r w:rsidR="007B2E83">
        <w:rPr>
          <w:bCs/>
          <w:sz w:val="28"/>
          <w:szCs w:val="28"/>
        </w:rPr>
        <w:t>освещени</w:t>
      </w:r>
      <w:r w:rsidR="00D166D2">
        <w:rPr>
          <w:bCs/>
          <w:sz w:val="28"/>
          <w:szCs w:val="28"/>
        </w:rPr>
        <w:t>ем</w:t>
      </w:r>
      <w:r w:rsidR="007B2E83">
        <w:rPr>
          <w:bCs/>
          <w:sz w:val="28"/>
          <w:szCs w:val="28"/>
        </w:rPr>
        <w:t xml:space="preserve"> улиц</w:t>
      </w:r>
      <w:r w:rsidR="009641C1">
        <w:rPr>
          <w:bCs/>
          <w:sz w:val="28"/>
          <w:szCs w:val="28"/>
        </w:rPr>
        <w:t xml:space="preserve">, финансовое обеспечение которого будет осуществляться </w:t>
      </w:r>
      <w:r w:rsidR="00404363" w:rsidRPr="00404363">
        <w:rPr>
          <w:bCs/>
          <w:sz w:val="28"/>
          <w:szCs w:val="28"/>
        </w:rPr>
        <w:t>в виде субсидии на выполнение муниципального задания</w:t>
      </w:r>
      <w:r>
        <w:rPr>
          <w:bCs/>
          <w:sz w:val="28"/>
          <w:szCs w:val="28"/>
        </w:rPr>
        <w:t xml:space="preserve"> МБУ «</w:t>
      </w:r>
      <w:proofErr w:type="spellStart"/>
      <w:r>
        <w:rPr>
          <w:bCs/>
          <w:sz w:val="28"/>
          <w:szCs w:val="28"/>
        </w:rPr>
        <w:t>Липецкгорсвет</w:t>
      </w:r>
      <w:proofErr w:type="spellEnd"/>
      <w:r>
        <w:rPr>
          <w:bCs/>
          <w:sz w:val="28"/>
          <w:szCs w:val="28"/>
        </w:rPr>
        <w:t>»</w:t>
      </w:r>
      <w:r w:rsidR="009641C1">
        <w:rPr>
          <w:bCs/>
          <w:sz w:val="28"/>
          <w:szCs w:val="28"/>
        </w:rPr>
        <w:t>.</w:t>
      </w:r>
    </w:p>
    <w:p w:rsidR="009641C1" w:rsidRDefault="00FD7AF0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Исключена субсидия, предоставляемая </w:t>
      </w:r>
      <w:r w:rsidR="00CE70A1">
        <w:rPr>
          <w:bCs/>
          <w:sz w:val="28"/>
          <w:szCs w:val="28"/>
        </w:rPr>
        <w:t>на осуществление</w:t>
      </w:r>
      <w:r>
        <w:rPr>
          <w:bCs/>
          <w:sz w:val="28"/>
          <w:szCs w:val="28"/>
        </w:rPr>
        <w:t xml:space="preserve"> бесплатного проезда граждан </w:t>
      </w:r>
      <w:r w:rsidR="00CE70A1">
        <w:rPr>
          <w:bCs/>
          <w:sz w:val="28"/>
          <w:szCs w:val="28"/>
        </w:rPr>
        <w:t>по садоводческим маршрутам</w:t>
      </w:r>
      <w:r w:rsidR="00E83120">
        <w:rPr>
          <w:bCs/>
          <w:sz w:val="28"/>
          <w:szCs w:val="28"/>
        </w:rPr>
        <w:t>.</w:t>
      </w:r>
    </w:p>
    <w:p w:rsidR="00E83120" w:rsidRDefault="00D166D2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 этом, п</w:t>
      </w:r>
      <w:r w:rsidR="00E83120">
        <w:rPr>
          <w:bCs/>
          <w:sz w:val="28"/>
          <w:szCs w:val="28"/>
        </w:rPr>
        <w:t xml:space="preserve">редусматривается </w:t>
      </w:r>
      <w:r>
        <w:rPr>
          <w:bCs/>
          <w:sz w:val="28"/>
          <w:szCs w:val="28"/>
        </w:rPr>
        <w:t>новая</w:t>
      </w:r>
      <w:r w:rsidR="00E83120">
        <w:rPr>
          <w:bCs/>
          <w:sz w:val="28"/>
          <w:szCs w:val="28"/>
        </w:rPr>
        <w:t xml:space="preserve"> субсидия на возмещение части затрат на эксплуатацию созданного объекта концессионного соглашения в объеме 1,1 млн. рублей.</w:t>
      </w:r>
    </w:p>
    <w:p w:rsidR="00241A2C" w:rsidRDefault="00D166D2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241A2C">
        <w:rPr>
          <w:bCs/>
          <w:sz w:val="28"/>
          <w:szCs w:val="28"/>
        </w:rPr>
        <w:t>убсидия социально ориентированным некоммерческим организациям на реализацию социально значимых проектов дополнена</w:t>
      </w:r>
      <w:r>
        <w:rPr>
          <w:bCs/>
          <w:sz w:val="28"/>
          <w:szCs w:val="28"/>
        </w:rPr>
        <w:t xml:space="preserve"> новым</w:t>
      </w:r>
      <w:r w:rsidR="00241A2C">
        <w:rPr>
          <w:bCs/>
          <w:sz w:val="28"/>
          <w:szCs w:val="28"/>
        </w:rPr>
        <w:t xml:space="preserve"> приоритетным направлением – </w:t>
      </w:r>
      <w:r w:rsidR="00241A2C" w:rsidRPr="00487B73">
        <w:rPr>
          <w:bCs/>
          <w:i/>
          <w:sz w:val="28"/>
          <w:szCs w:val="28"/>
        </w:rPr>
        <w:t>«оказание юридической помощи на безвозмездной или на льготной основе гражданам и некоммерческим организациям и правовое просвещение населения»</w:t>
      </w:r>
      <w:r w:rsidR="00241A2C">
        <w:rPr>
          <w:bCs/>
          <w:sz w:val="28"/>
          <w:szCs w:val="28"/>
        </w:rPr>
        <w:t>, что связано с поддержкой территориальных общественных советов.</w:t>
      </w:r>
    </w:p>
    <w:p w:rsidR="009641C1" w:rsidRPr="00404363" w:rsidRDefault="00E83120" w:rsidP="00E83120">
      <w:pPr>
        <w:suppressAutoHyphens/>
        <w:ind w:firstLine="709"/>
        <w:jc w:val="both"/>
        <w:rPr>
          <w:bCs/>
          <w:sz w:val="28"/>
          <w:szCs w:val="28"/>
        </w:rPr>
      </w:pPr>
      <w:r w:rsidRPr="009F7D73">
        <w:rPr>
          <w:bCs/>
          <w:i/>
          <w:sz w:val="28"/>
          <w:szCs w:val="28"/>
        </w:rPr>
        <w:t>Следует отметить,</w:t>
      </w:r>
      <w:r w:rsidR="00D166D2" w:rsidRPr="009F7D73">
        <w:rPr>
          <w:bCs/>
          <w:i/>
          <w:sz w:val="28"/>
          <w:szCs w:val="28"/>
        </w:rPr>
        <w:t xml:space="preserve"> что</w:t>
      </w:r>
      <w:r w:rsidRPr="009F7D73">
        <w:rPr>
          <w:bCs/>
          <w:i/>
          <w:sz w:val="28"/>
          <w:szCs w:val="28"/>
        </w:rPr>
        <w:t xml:space="preserve"> большинств</w:t>
      </w:r>
      <w:r w:rsidR="00CE70A1" w:rsidRPr="009F7D73">
        <w:rPr>
          <w:bCs/>
          <w:i/>
          <w:sz w:val="28"/>
          <w:szCs w:val="28"/>
        </w:rPr>
        <w:t>о</w:t>
      </w:r>
      <w:r w:rsidRPr="009F7D73">
        <w:rPr>
          <w:bCs/>
          <w:i/>
          <w:sz w:val="28"/>
          <w:szCs w:val="28"/>
        </w:rPr>
        <w:t xml:space="preserve"> предоставляемых субсидий</w:t>
      </w:r>
      <w:r w:rsidR="00CE70A1" w:rsidRPr="009F7D73">
        <w:rPr>
          <w:bCs/>
          <w:i/>
          <w:sz w:val="28"/>
          <w:szCs w:val="28"/>
        </w:rPr>
        <w:t xml:space="preserve"> и</w:t>
      </w:r>
      <w:r w:rsidRPr="009F7D73">
        <w:rPr>
          <w:bCs/>
          <w:i/>
          <w:sz w:val="28"/>
          <w:szCs w:val="28"/>
        </w:rPr>
        <w:t xml:space="preserve"> грантов связаны с поддержкой</w:t>
      </w:r>
      <w:r w:rsidR="00D166D2" w:rsidRPr="009F7D73">
        <w:rPr>
          <w:bCs/>
          <w:i/>
          <w:sz w:val="28"/>
          <w:szCs w:val="28"/>
        </w:rPr>
        <w:t xml:space="preserve"> уже</w:t>
      </w:r>
      <w:r w:rsidRPr="009F7D73">
        <w:rPr>
          <w:bCs/>
          <w:i/>
          <w:sz w:val="28"/>
          <w:szCs w:val="28"/>
        </w:rPr>
        <w:t xml:space="preserve"> </w:t>
      </w:r>
      <w:r w:rsidR="00CE70A1" w:rsidRPr="009F7D73">
        <w:rPr>
          <w:bCs/>
          <w:i/>
          <w:sz w:val="28"/>
          <w:szCs w:val="28"/>
        </w:rPr>
        <w:t>существующей</w:t>
      </w:r>
      <w:r w:rsidRPr="009F7D73">
        <w:rPr>
          <w:bCs/>
          <w:i/>
          <w:sz w:val="28"/>
          <w:szCs w:val="28"/>
        </w:rPr>
        <w:t xml:space="preserve"> деятельности претендентов</w:t>
      </w:r>
      <w:r w:rsidR="00CE70A1" w:rsidRPr="009F7D73">
        <w:rPr>
          <w:bCs/>
          <w:i/>
          <w:sz w:val="28"/>
          <w:szCs w:val="28"/>
        </w:rPr>
        <w:t xml:space="preserve"> и не направлены на создание новых рабочих мест</w:t>
      </w:r>
      <w:r>
        <w:rPr>
          <w:bCs/>
          <w:sz w:val="28"/>
          <w:szCs w:val="28"/>
        </w:rPr>
        <w:t xml:space="preserve">. </w:t>
      </w:r>
    </w:p>
    <w:p w:rsidR="00404363" w:rsidRPr="00404363" w:rsidRDefault="00404363" w:rsidP="00404363">
      <w:pPr>
        <w:suppressAutoHyphens/>
        <w:ind w:firstLine="709"/>
        <w:jc w:val="both"/>
        <w:rPr>
          <w:bCs/>
          <w:sz w:val="28"/>
          <w:szCs w:val="28"/>
        </w:rPr>
      </w:pPr>
      <w:r w:rsidRPr="00404363">
        <w:rPr>
          <w:bCs/>
          <w:sz w:val="28"/>
          <w:szCs w:val="28"/>
        </w:rPr>
        <w:t xml:space="preserve">В соответствии со статьей 78.2 БК РФ, </w:t>
      </w:r>
      <w:r w:rsidRPr="00CE70A1">
        <w:rPr>
          <w:bCs/>
          <w:sz w:val="28"/>
          <w:szCs w:val="28"/>
        </w:rPr>
        <w:t>статьей 8</w:t>
      </w:r>
      <w:r w:rsidRPr="00404363">
        <w:rPr>
          <w:bCs/>
          <w:sz w:val="28"/>
          <w:szCs w:val="28"/>
        </w:rPr>
        <w:t xml:space="preserve"> проекта бюджета предусматривается </w:t>
      </w:r>
      <w:r w:rsidRPr="00CE70A1">
        <w:rPr>
          <w:b/>
          <w:bCs/>
          <w:i/>
          <w:sz w:val="28"/>
          <w:szCs w:val="28"/>
        </w:rPr>
        <w:t>субсидия на осуществление капитальных вложений</w:t>
      </w:r>
      <w:r w:rsidRPr="00404363">
        <w:rPr>
          <w:bCs/>
          <w:sz w:val="28"/>
          <w:szCs w:val="28"/>
        </w:rPr>
        <w:t xml:space="preserve"> в объекты капитального строительства муниципальной собственности</w:t>
      </w:r>
      <w:r w:rsidR="009641C1">
        <w:rPr>
          <w:bCs/>
          <w:sz w:val="28"/>
          <w:szCs w:val="28"/>
        </w:rPr>
        <w:t xml:space="preserve"> муниципальным учреждениям и предприятиям (за исключением казенных)</w:t>
      </w:r>
      <w:r w:rsidRPr="00404363">
        <w:rPr>
          <w:bCs/>
          <w:sz w:val="28"/>
          <w:szCs w:val="28"/>
        </w:rPr>
        <w:t>.</w:t>
      </w:r>
    </w:p>
    <w:p w:rsidR="00404363" w:rsidRPr="00404363" w:rsidRDefault="00CE70A1" w:rsidP="004043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04363" w:rsidRPr="00404363">
        <w:rPr>
          <w:bCs/>
          <w:sz w:val="28"/>
          <w:szCs w:val="28"/>
        </w:rPr>
        <w:t xml:space="preserve"> 20</w:t>
      </w:r>
      <w:r w:rsidR="009641C1">
        <w:rPr>
          <w:bCs/>
          <w:sz w:val="28"/>
          <w:szCs w:val="28"/>
        </w:rPr>
        <w:t>20</w:t>
      </w:r>
      <w:r w:rsidR="00404363" w:rsidRPr="0040436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="00404363" w:rsidRPr="00404363">
        <w:rPr>
          <w:bCs/>
          <w:sz w:val="28"/>
          <w:szCs w:val="28"/>
        </w:rPr>
        <w:t xml:space="preserve"> на указанные цели предусмотрены бюджетные ассигнования </w:t>
      </w:r>
      <w:r w:rsidR="009641C1">
        <w:rPr>
          <w:bCs/>
          <w:sz w:val="28"/>
          <w:szCs w:val="28"/>
        </w:rPr>
        <w:t>в объеме 4,2 млн. рублей</w:t>
      </w:r>
      <w:r w:rsidR="00404363" w:rsidRPr="00404363">
        <w:rPr>
          <w:bCs/>
          <w:sz w:val="28"/>
          <w:szCs w:val="28"/>
        </w:rPr>
        <w:t xml:space="preserve">. </w:t>
      </w:r>
    </w:p>
    <w:p w:rsidR="00125B4A" w:rsidRPr="007C44B7" w:rsidRDefault="003B7151" w:rsidP="0061554A">
      <w:pPr>
        <w:suppressAutoHyphens/>
        <w:ind w:firstLine="709"/>
        <w:jc w:val="both"/>
        <w:rPr>
          <w:sz w:val="28"/>
          <w:szCs w:val="28"/>
        </w:rPr>
      </w:pPr>
      <w:r w:rsidRPr="003776F3">
        <w:rPr>
          <w:sz w:val="28"/>
          <w:szCs w:val="28"/>
        </w:rPr>
        <w:t>Согласно приложению №21</w:t>
      </w:r>
      <w:r w:rsidR="004F1B83">
        <w:rPr>
          <w:sz w:val="28"/>
          <w:szCs w:val="28"/>
        </w:rPr>
        <w:t xml:space="preserve"> </w:t>
      </w:r>
      <w:r w:rsidRPr="003776F3">
        <w:rPr>
          <w:sz w:val="28"/>
          <w:szCs w:val="28"/>
        </w:rPr>
        <w:t xml:space="preserve">к Бюджету на 2020 год </w:t>
      </w:r>
      <w:r w:rsidR="006456DB" w:rsidRPr="003776F3">
        <w:rPr>
          <w:sz w:val="28"/>
          <w:szCs w:val="28"/>
        </w:rPr>
        <w:t>бюджетны</w:t>
      </w:r>
      <w:r w:rsidR="00CE70A1" w:rsidRPr="003776F3">
        <w:rPr>
          <w:sz w:val="28"/>
          <w:szCs w:val="28"/>
        </w:rPr>
        <w:t xml:space="preserve">е </w:t>
      </w:r>
      <w:r w:rsidR="006456DB" w:rsidRPr="003776F3">
        <w:rPr>
          <w:sz w:val="28"/>
          <w:szCs w:val="28"/>
        </w:rPr>
        <w:t>ассигновани</w:t>
      </w:r>
      <w:r w:rsidR="00CE70A1" w:rsidRPr="003776F3">
        <w:rPr>
          <w:sz w:val="28"/>
          <w:szCs w:val="28"/>
        </w:rPr>
        <w:t>я предусмотрены на техническое перевооружение трех котельных</w:t>
      </w:r>
      <w:r w:rsidR="00D166D2">
        <w:rPr>
          <w:sz w:val="28"/>
          <w:szCs w:val="28"/>
        </w:rPr>
        <w:t xml:space="preserve"> и</w:t>
      </w:r>
      <w:r w:rsidR="00CE70A1" w:rsidRPr="003776F3">
        <w:rPr>
          <w:sz w:val="28"/>
          <w:szCs w:val="28"/>
        </w:rPr>
        <w:t xml:space="preserve"> </w:t>
      </w:r>
      <w:r w:rsidR="006456DB" w:rsidRPr="003776F3">
        <w:rPr>
          <w:sz w:val="28"/>
          <w:szCs w:val="28"/>
        </w:rPr>
        <w:t>на реконструкцию сетей электроснабжения СНТ «</w:t>
      </w:r>
      <w:proofErr w:type="spellStart"/>
      <w:r w:rsidR="006456DB" w:rsidRPr="003776F3">
        <w:rPr>
          <w:sz w:val="28"/>
          <w:szCs w:val="28"/>
        </w:rPr>
        <w:t>Студеновская</w:t>
      </w:r>
      <w:proofErr w:type="spellEnd"/>
      <w:r w:rsidR="006456DB" w:rsidRPr="003776F3">
        <w:rPr>
          <w:sz w:val="28"/>
          <w:szCs w:val="28"/>
        </w:rPr>
        <w:t>».</w:t>
      </w:r>
      <w:r w:rsidR="006456DB" w:rsidRPr="00CE70A1">
        <w:rPr>
          <w:i/>
          <w:sz w:val="28"/>
          <w:szCs w:val="28"/>
        </w:rPr>
        <w:t xml:space="preserve"> При этом</w:t>
      </w:r>
      <w:proofErr w:type="gramStart"/>
      <w:r w:rsidR="006456DB" w:rsidRPr="00CE70A1">
        <w:rPr>
          <w:i/>
          <w:sz w:val="28"/>
          <w:szCs w:val="28"/>
        </w:rPr>
        <w:t>,</w:t>
      </w:r>
      <w:proofErr w:type="gramEnd"/>
      <w:r w:rsidR="006456DB" w:rsidRPr="00CE70A1">
        <w:rPr>
          <w:i/>
          <w:sz w:val="28"/>
          <w:szCs w:val="28"/>
        </w:rPr>
        <w:t xml:space="preserve"> </w:t>
      </w:r>
      <w:r w:rsidR="00CE70A1">
        <w:rPr>
          <w:i/>
          <w:sz w:val="28"/>
          <w:szCs w:val="28"/>
        </w:rPr>
        <w:t>последний</w:t>
      </w:r>
      <w:r w:rsidR="006456DB" w:rsidRPr="00CE70A1">
        <w:rPr>
          <w:i/>
          <w:sz w:val="28"/>
          <w:szCs w:val="28"/>
        </w:rPr>
        <w:t xml:space="preserve"> объект не числится в муниципальной собственности, и его финансирование</w:t>
      </w:r>
      <w:r w:rsidR="00CE70A1">
        <w:rPr>
          <w:i/>
          <w:sz w:val="28"/>
          <w:szCs w:val="28"/>
        </w:rPr>
        <w:t xml:space="preserve"> в объеме 2,0 млн. руб.</w:t>
      </w:r>
      <w:r w:rsidR="006456DB" w:rsidRPr="00CE70A1">
        <w:rPr>
          <w:i/>
          <w:sz w:val="28"/>
          <w:szCs w:val="28"/>
        </w:rPr>
        <w:t xml:space="preserve"> приведет к нарушению бюджетного законодательства</w:t>
      </w:r>
      <w:r w:rsidR="006456DB">
        <w:rPr>
          <w:sz w:val="28"/>
          <w:szCs w:val="28"/>
        </w:rPr>
        <w:t>.</w:t>
      </w:r>
    </w:p>
    <w:p w:rsidR="00C04CA9" w:rsidRDefault="00C04CA9" w:rsidP="00970E2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</w:p>
    <w:p w:rsidR="00AD6C05" w:rsidRPr="000833E7" w:rsidRDefault="00AD6C05" w:rsidP="00A91419">
      <w:pPr>
        <w:suppressAutoHyphens/>
        <w:jc w:val="center"/>
        <w:rPr>
          <w:b/>
          <w:sz w:val="28"/>
          <w:szCs w:val="28"/>
        </w:rPr>
      </w:pPr>
      <w:r w:rsidRPr="000833E7">
        <w:rPr>
          <w:b/>
          <w:sz w:val="28"/>
          <w:szCs w:val="28"/>
        </w:rPr>
        <w:t xml:space="preserve">4. </w:t>
      </w:r>
      <w:r w:rsidR="00426F63" w:rsidRPr="000833E7">
        <w:rPr>
          <w:b/>
          <w:sz w:val="28"/>
          <w:szCs w:val="28"/>
        </w:rPr>
        <w:t>Анализ прогноза доходов бюджета города.</w:t>
      </w:r>
    </w:p>
    <w:p w:rsidR="00AD6C05" w:rsidRPr="000833E7" w:rsidRDefault="00AD6C05" w:rsidP="007B7ECC">
      <w:pPr>
        <w:suppressAutoHyphens/>
        <w:rPr>
          <w:b/>
          <w:sz w:val="28"/>
          <w:szCs w:val="28"/>
        </w:rPr>
      </w:pPr>
    </w:p>
    <w:p w:rsidR="00426F63" w:rsidRDefault="00A91419" w:rsidP="000833E7">
      <w:pPr>
        <w:suppressAutoHyphens/>
        <w:ind w:firstLine="709"/>
        <w:jc w:val="both"/>
        <w:rPr>
          <w:sz w:val="28"/>
          <w:szCs w:val="28"/>
        </w:rPr>
      </w:pPr>
      <w:r w:rsidRPr="000833E7">
        <w:rPr>
          <w:sz w:val="28"/>
          <w:szCs w:val="28"/>
        </w:rPr>
        <w:t xml:space="preserve">Формирование доходов бюджета города произведено в соответствии со ст. 174.1 Бюджетного кодекса РФ, на основании прогноза </w:t>
      </w:r>
      <w:r w:rsidR="000833E7">
        <w:rPr>
          <w:sz w:val="28"/>
          <w:szCs w:val="28"/>
        </w:rPr>
        <w:t xml:space="preserve">поступлений федеральных и местных налогов и неналоговых платежей по нормативам, установленным </w:t>
      </w:r>
      <w:r w:rsidR="009E5A7D">
        <w:rPr>
          <w:sz w:val="28"/>
          <w:szCs w:val="28"/>
        </w:rPr>
        <w:t>Б</w:t>
      </w:r>
      <w:r w:rsidR="000833E7">
        <w:rPr>
          <w:sz w:val="28"/>
          <w:szCs w:val="28"/>
        </w:rPr>
        <w:t>юджетным кодексом РФ и доведенным субъектом.</w:t>
      </w:r>
    </w:p>
    <w:p w:rsidR="000833E7" w:rsidRDefault="000833E7" w:rsidP="000833E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объема доходов учтены изменения, внесенные в действующее законодательство, касающиеся доходной части бюджета города.</w:t>
      </w:r>
    </w:p>
    <w:p w:rsidR="000833E7" w:rsidRDefault="000833E7" w:rsidP="000833E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 1 января 2020 года изменены нормативы распределения денежных взысканий (штрафов), предусмотренных административным законодательством, что по расчетам департамента финансов повлечет сокращение доходов от уплаты штрафов поступающих в бюджет города на сумму порядка 90,0 млн. рублей.</w:t>
      </w:r>
    </w:p>
    <w:p w:rsidR="000833E7" w:rsidRDefault="000833E7" w:rsidP="000833E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этим, для городских округов планируется увеличение норматива отчислений платы за негативное воздействие на окружающую среду</w:t>
      </w:r>
      <w:r w:rsidR="00645D84">
        <w:rPr>
          <w:sz w:val="28"/>
          <w:szCs w:val="28"/>
        </w:rPr>
        <w:t xml:space="preserve"> с 55 до 60 процентов,</w:t>
      </w:r>
      <w:r>
        <w:rPr>
          <w:sz w:val="28"/>
          <w:szCs w:val="28"/>
        </w:rPr>
        <w:t xml:space="preserve"> что увеличит доходы бюджета города на сумму порядка 4,0 млн. рублей.</w:t>
      </w:r>
    </w:p>
    <w:p w:rsidR="000833E7" w:rsidRDefault="000833E7" w:rsidP="000833E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формировании доходной части бюджета скажутся и ранее принятые изменения в части отмены с 1 января 2021 года</w:t>
      </w:r>
      <w:r w:rsidR="00453E73">
        <w:rPr>
          <w:sz w:val="28"/>
          <w:szCs w:val="28"/>
        </w:rPr>
        <w:t xml:space="preserve"> системы налогообложения в виде единого налога на вмененный доход для отдельных </w:t>
      </w:r>
      <w:r w:rsidR="00453E73">
        <w:rPr>
          <w:sz w:val="28"/>
          <w:szCs w:val="28"/>
        </w:rPr>
        <w:lastRenderedPageBreak/>
        <w:t>видов деятельности, а также исчисление налога на имущество физических лиц, исходя из кадастровой стоимости объектов налогообложения.</w:t>
      </w:r>
    </w:p>
    <w:p w:rsidR="00453E73" w:rsidRDefault="00453E73" w:rsidP="000833E7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учетом указанных изменений и расчетных показателей администраторов доходов бюджета, общий объем доходов в 2020 году </w:t>
      </w:r>
      <w:r w:rsidR="002136E4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в сумме 11263,7 млн. руб., что на 406,9 млн. руб. или на 3,8% выше </w:t>
      </w:r>
      <w:r w:rsidR="00DE6E90">
        <w:rPr>
          <w:sz w:val="28"/>
          <w:szCs w:val="28"/>
        </w:rPr>
        <w:t xml:space="preserve">первоначально планируемых на 2019 год, а по отношению к ожидаемой оценке исполнения в текущем году, объем доходов </w:t>
      </w:r>
      <w:r w:rsidR="002136E4">
        <w:rPr>
          <w:sz w:val="28"/>
          <w:szCs w:val="28"/>
        </w:rPr>
        <w:t>составит</w:t>
      </w:r>
      <w:r w:rsidR="00DE6E90">
        <w:rPr>
          <w:sz w:val="28"/>
          <w:szCs w:val="28"/>
        </w:rPr>
        <w:t xml:space="preserve"> 78,5 процентов.</w:t>
      </w:r>
      <w:proofErr w:type="gramEnd"/>
    </w:p>
    <w:p w:rsidR="00DE6E90" w:rsidRPr="000833E7" w:rsidRDefault="00DE6E90" w:rsidP="000833E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2021 и 2022 годов объем бюджета по доходам прогнозируется на уровне 9,5 млрд. руб., т.е. со снижением </w:t>
      </w:r>
      <w:r w:rsidR="00B836E5">
        <w:rPr>
          <w:sz w:val="28"/>
          <w:szCs w:val="28"/>
        </w:rPr>
        <w:t>на</w:t>
      </w:r>
      <w:r>
        <w:rPr>
          <w:sz w:val="28"/>
          <w:szCs w:val="28"/>
        </w:rPr>
        <w:t xml:space="preserve"> 2020 год на 1,8 млрд. рублей.</w:t>
      </w:r>
    </w:p>
    <w:p w:rsidR="00EE3A2A" w:rsidRPr="000833E7" w:rsidRDefault="00A60A7A" w:rsidP="00566B68">
      <w:pPr>
        <w:ind w:firstLine="708"/>
        <w:jc w:val="both"/>
        <w:rPr>
          <w:sz w:val="28"/>
          <w:szCs w:val="28"/>
        </w:rPr>
      </w:pPr>
      <w:r w:rsidRPr="00DE6E90">
        <w:rPr>
          <w:sz w:val="28"/>
          <w:szCs w:val="28"/>
        </w:rPr>
        <w:t xml:space="preserve">Динамика </w:t>
      </w:r>
      <w:r w:rsidR="003B4B49" w:rsidRPr="00DE6E90">
        <w:rPr>
          <w:sz w:val="28"/>
          <w:szCs w:val="28"/>
        </w:rPr>
        <w:t xml:space="preserve">собственных и </w:t>
      </w:r>
      <w:r w:rsidR="00185994" w:rsidRPr="00DE6E90">
        <w:rPr>
          <w:sz w:val="28"/>
          <w:szCs w:val="28"/>
        </w:rPr>
        <w:t>привлечённых</w:t>
      </w:r>
      <w:r w:rsidRPr="00DE6E90">
        <w:rPr>
          <w:sz w:val="28"/>
          <w:szCs w:val="28"/>
        </w:rPr>
        <w:t xml:space="preserve"> доходов представлена следующими данными: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1134"/>
        <w:gridCol w:w="1276"/>
        <w:gridCol w:w="1134"/>
        <w:gridCol w:w="1098"/>
      </w:tblGrid>
      <w:tr w:rsidR="00A60A7A" w:rsidRPr="000833E7" w:rsidTr="003112C7">
        <w:tc>
          <w:tcPr>
            <w:tcW w:w="3794" w:type="dxa"/>
          </w:tcPr>
          <w:p w:rsidR="00AF616D" w:rsidRDefault="00AF616D" w:rsidP="00A60A7A">
            <w:pPr>
              <w:jc w:val="center"/>
              <w:rPr>
                <w:sz w:val="22"/>
                <w:szCs w:val="22"/>
              </w:rPr>
            </w:pPr>
          </w:p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</w:tcPr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201</w:t>
            </w:r>
            <w:r w:rsidR="00723FE1">
              <w:rPr>
                <w:sz w:val="22"/>
                <w:szCs w:val="22"/>
              </w:rPr>
              <w:t>8</w:t>
            </w:r>
            <w:r w:rsidR="003112C7" w:rsidRPr="000833E7">
              <w:rPr>
                <w:sz w:val="22"/>
                <w:szCs w:val="22"/>
              </w:rPr>
              <w:t xml:space="preserve"> год</w:t>
            </w:r>
          </w:p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</w:tcPr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201</w:t>
            </w:r>
            <w:r w:rsidR="00723FE1">
              <w:rPr>
                <w:sz w:val="22"/>
                <w:szCs w:val="22"/>
              </w:rPr>
              <w:t>9</w:t>
            </w:r>
            <w:r w:rsidR="003112C7" w:rsidRPr="000833E7">
              <w:rPr>
                <w:sz w:val="22"/>
                <w:szCs w:val="22"/>
              </w:rPr>
              <w:t xml:space="preserve"> год</w:t>
            </w:r>
          </w:p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оценка</w:t>
            </w:r>
          </w:p>
        </w:tc>
        <w:tc>
          <w:tcPr>
            <w:tcW w:w="1276" w:type="dxa"/>
          </w:tcPr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20</w:t>
            </w:r>
            <w:r w:rsidR="00723FE1">
              <w:rPr>
                <w:sz w:val="22"/>
                <w:szCs w:val="22"/>
              </w:rPr>
              <w:t>20</w:t>
            </w:r>
            <w:r w:rsidRPr="000833E7">
              <w:rPr>
                <w:sz w:val="22"/>
                <w:szCs w:val="22"/>
              </w:rPr>
              <w:t xml:space="preserve"> </w:t>
            </w:r>
            <w:r w:rsidR="005545E6" w:rsidRPr="000833E7">
              <w:rPr>
                <w:sz w:val="22"/>
                <w:szCs w:val="22"/>
              </w:rPr>
              <w:t>год</w:t>
            </w:r>
          </w:p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проект</w:t>
            </w:r>
          </w:p>
        </w:tc>
        <w:tc>
          <w:tcPr>
            <w:tcW w:w="1134" w:type="dxa"/>
          </w:tcPr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20</w:t>
            </w:r>
            <w:r w:rsidR="00A81058" w:rsidRPr="000833E7">
              <w:rPr>
                <w:sz w:val="22"/>
                <w:szCs w:val="22"/>
              </w:rPr>
              <w:t>2</w:t>
            </w:r>
            <w:r w:rsidR="00723FE1">
              <w:rPr>
                <w:sz w:val="22"/>
                <w:szCs w:val="22"/>
              </w:rPr>
              <w:t>1</w:t>
            </w:r>
            <w:r w:rsidR="003112C7" w:rsidRPr="000833E7">
              <w:rPr>
                <w:sz w:val="22"/>
                <w:szCs w:val="22"/>
              </w:rPr>
              <w:t xml:space="preserve"> год</w:t>
            </w:r>
          </w:p>
          <w:p w:rsidR="00A60A7A" w:rsidRPr="000833E7" w:rsidRDefault="00A60A7A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 xml:space="preserve"> прогноз</w:t>
            </w:r>
          </w:p>
        </w:tc>
        <w:tc>
          <w:tcPr>
            <w:tcW w:w="1098" w:type="dxa"/>
          </w:tcPr>
          <w:p w:rsidR="00A60A7A" w:rsidRPr="000833E7" w:rsidRDefault="00A81058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202</w:t>
            </w:r>
            <w:r w:rsidR="00723FE1">
              <w:rPr>
                <w:sz w:val="22"/>
                <w:szCs w:val="22"/>
              </w:rPr>
              <w:t>2</w:t>
            </w:r>
            <w:r w:rsidR="00A60A7A" w:rsidRPr="000833E7">
              <w:rPr>
                <w:sz w:val="22"/>
                <w:szCs w:val="22"/>
              </w:rPr>
              <w:t xml:space="preserve"> </w:t>
            </w:r>
            <w:r w:rsidR="003112C7" w:rsidRPr="000833E7">
              <w:rPr>
                <w:sz w:val="22"/>
                <w:szCs w:val="22"/>
              </w:rPr>
              <w:t>год</w:t>
            </w:r>
          </w:p>
          <w:p w:rsidR="00A60A7A" w:rsidRDefault="00AF616D" w:rsidP="00A60A7A">
            <w:pPr>
              <w:jc w:val="center"/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П</w:t>
            </w:r>
            <w:r w:rsidR="00A60A7A" w:rsidRPr="000833E7">
              <w:rPr>
                <w:sz w:val="22"/>
                <w:szCs w:val="22"/>
              </w:rPr>
              <w:t>рогноз</w:t>
            </w:r>
          </w:p>
          <w:p w:rsidR="00AF616D" w:rsidRPr="000833E7" w:rsidRDefault="00AF616D" w:rsidP="00A60A7A">
            <w:pPr>
              <w:jc w:val="center"/>
              <w:rPr>
                <w:sz w:val="22"/>
                <w:szCs w:val="22"/>
              </w:rPr>
            </w:pPr>
          </w:p>
        </w:tc>
      </w:tr>
      <w:tr w:rsidR="00A60A7A" w:rsidRPr="000833E7" w:rsidTr="003112C7">
        <w:tc>
          <w:tcPr>
            <w:tcW w:w="3794" w:type="dxa"/>
          </w:tcPr>
          <w:p w:rsidR="00A60A7A" w:rsidRDefault="00A60A7A" w:rsidP="00A60A7A">
            <w:pPr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1. Общий объем доходов</w:t>
            </w:r>
            <w:r w:rsidR="00A81058" w:rsidRPr="000833E7">
              <w:rPr>
                <w:sz w:val="22"/>
                <w:szCs w:val="22"/>
              </w:rPr>
              <w:t xml:space="preserve"> (млн. руб.)</w:t>
            </w:r>
          </w:p>
          <w:p w:rsidR="002136E4" w:rsidRPr="000833E7" w:rsidRDefault="002136E4" w:rsidP="00A60A7A">
            <w:pPr>
              <w:rPr>
                <w:sz w:val="22"/>
                <w:szCs w:val="22"/>
              </w:rPr>
            </w:pPr>
          </w:p>
          <w:p w:rsidR="00A60A7A" w:rsidRDefault="00A60A7A" w:rsidP="00A60A7A">
            <w:pPr>
              <w:rPr>
                <w:i/>
                <w:sz w:val="22"/>
                <w:szCs w:val="22"/>
              </w:rPr>
            </w:pPr>
            <w:r w:rsidRPr="000833E7">
              <w:rPr>
                <w:i/>
                <w:sz w:val="22"/>
                <w:szCs w:val="22"/>
              </w:rPr>
              <w:t>Темп роста к предыдущему год</w:t>
            </w:r>
            <w:r w:rsidR="00A74DB6" w:rsidRPr="000833E7">
              <w:rPr>
                <w:i/>
                <w:sz w:val="22"/>
                <w:szCs w:val="22"/>
              </w:rPr>
              <w:t>у</w:t>
            </w:r>
            <w:r w:rsidR="00A81058" w:rsidRPr="000833E7">
              <w:rPr>
                <w:i/>
                <w:sz w:val="22"/>
                <w:szCs w:val="22"/>
              </w:rPr>
              <w:t>(%)</w:t>
            </w:r>
          </w:p>
          <w:p w:rsidR="002136E4" w:rsidRPr="00B836E5" w:rsidRDefault="002136E4" w:rsidP="00A60A7A">
            <w:pPr>
              <w:rPr>
                <w:i/>
                <w:sz w:val="22"/>
                <w:szCs w:val="22"/>
              </w:rPr>
            </w:pPr>
          </w:p>
          <w:p w:rsidR="00A60A7A" w:rsidRDefault="00A60A7A" w:rsidP="00A60A7A">
            <w:pPr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 xml:space="preserve">2. </w:t>
            </w:r>
            <w:r w:rsidR="00A81058" w:rsidRPr="000833E7">
              <w:rPr>
                <w:sz w:val="22"/>
                <w:szCs w:val="22"/>
              </w:rPr>
              <w:t>Собственные доходы (млн. руб.)</w:t>
            </w:r>
          </w:p>
          <w:p w:rsidR="002136E4" w:rsidRPr="000833E7" w:rsidRDefault="002136E4" w:rsidP="00A60A7A">
            <w:pPr>
              <w:rPr>
                <w:sz w:val="22"/>
                <w:szCs w:val="22"/>
              </w:rPr>
            </w:pPr>
          </w:p>
          <w:p w:rsidR="00A60A7A" w:rsidRDefault="00A60A7A" w:rsidP="00A60A7A">
            <w:pPr>
              <w:rPr>
                <w:i/>
                <w:sz w:val="22"/>
                <w:szCs w:val="22"/>
              </w:rPr>
            </w:pPr>
            <w:r w:rsidRPr="000833E7">
              <w:rPr>
                <w:i/>
                <w:sz w:val="22"/>
                <w:szCs w:val="22"/>
              </w:rPr>
              <w:t>Темп роста к предыдущему году</w:t>
            </w:r>
            <w:r w:rsidR="00A81058" w:rsidRPr="000833E7">
              <w:rPr>
                <w:i/>
                <w:sz w:val="22"/>
                <w:szCs w:val="22"/>
              </w:rPr>
              <w:t>(%)</w:t>
            </w:r>
          </w:p>
          <w:p w:rsidR="002136E4" w:rsidRPr="00B836E5" w:rsidRDefault="002136E4" w:rsidP="00A60A7A">
            <w:pPr>
              <w:rPr>
                <w:i/>
                <w:sz w:val="22"/>
                <w:szCs w:val="22"/>
              </w:rPr>
            </w:pPr>
          </w:p>
          <w:p w:rsidR="002136E4" w:rsidRDefault="00A60A7A" w:rsidP="00A60A7A">
            <w:pPr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3. Безвозмездные поступления</w:t>
            </w:r>
            <w:r w:rsidR="00A81058" w:rsidRPr="000833E7">
              <w:rPr>
                <w:sz w:val="22"/>
                <w:szCs w:val="22"/>
              </w:rPr>
              <w:t xml:space="preserve"> </w:t>
            </w:r>
          </w:p>
          <w:p w:rsidR="00A60A7A" w:rsidRPr="000833E7" w:rsidRDefault="00A81058" w:rsidP="00A60A7A">
            <w:pPr>
              <w:rPr>
                <w:sz w:val="22"/>
                <w:szCs w:val="22"/>
              </w:rPr>
            </w:pPr>
            <w:r w:rsidRPr="000833E7">
              <w:rPr>
                <w:sz w:val="22"/>
                <w:szCs w:val="22"/>
              </w:rPr>
              <w:t>(млн. руб.)</w:t>
            </w:r>
          </w:p>
          <w:p w:rsidR="00A60A7A" w:rsidRPr="000833E7" w:rsidRDefault="00A60A7A" w:rsidP="00A60A7A">
            <w:pPr>
              <w:rPr>
                <w:i/>
                <w:sz w:val="22"/>
                <w:szCs w:val="22"/>
              </w:rPr>
            </w:pPr>
            <w:r w:rsidRPr="000833E7">
              <w:rPr>
                <w:i/>
                <w:sz w:val="22"/>
                <w:szCs w:val="22"/>
              </w:rPr>
              <w:t>Темп роста к предыдущему году</w:t>
            </w:r>
            <w:r w:rsidR="00A81058" w:rsidRPr="000833E7">
              <w:rPr>
                <w:i/>
                <w:sz w:val="22"/>
                <w:szCs w:val="22"/>
              </w:rPr>
              <w:t>(%)</w:t>
            </w:r>
          </w:p>
        </w:tc>
        <w:tc>
          <w:tcPr>
            <w:tcW w:w="1134" w:type="dxa"/>
          </w:tcPr>
          <w:p w:rsidR="00A60A7A" w:rsidRPr="000833E7" w:rsidRDefault="00723FE1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12234,5</w:t>
            </w:r>
          </w:p>
          <w:p w:rsidR="002136E4" w:rsidRDefault="002136E4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A74DB6" w:rsidRPr="00723FE1" w:rsidRDefault="00723FE1" w:rsidP="003112C7">
            <w:pPr>
              <w:jc w:val="center"/>
              <w:rPr>
                <w:i/>
                <w:sz w:val="22"/>
                <w:szCs w:val="22"/>
              </w:rPr>
            </w:pPr>
            <w:r w:rsidRPr="00723FE1">
              <w:rPr>
                <w:i/>
                <w:sz w:val="22"/>
                <w:szCs w:val="22"/>
              </w:rPr>
              <w:t>109,5</w:t>
            </w:r>
          </w:p>
          <w:p w:rsidR="002136E4" w:rsidRDefault="002136E4" w:rsidP="003112C7">
            <w:pPr>
              <w:jc w:val="center"/>
              <w:rPr>
                <w:sz w:val="22"/>
                <w:szCs w:val="22"/>
              </w:rPr>
            </w:pPr>
          </w:p>
          <w:p w:rsidR="00A81058" w:rsidRPr="000833E7" w:rsidRDefault="00723FE1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4858,1</w:t>
            </w:r>
          </w:p>
          <w:p w:rsidR="002136E4" w:rsidRDefault="002136E4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723FE1" w:rsidRDefault="00723FE1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96,5</w:t>
            </w:r>
          </w:p>
          <w:p w:rsidR="002136E4" w:rsidRDefault="002136E4" w:rsidP="003112C7">
            <w:pPr>
              <w:jc w:val="center"/>
              <w:rPr>
                <w:sz w:val="22"/>
                <w:szCs w:val="22"/>
              </w:rPr>
            </w:pPr>
          </w:p>
          <w:p w:rsidR="00723FE1" w:rsidRPr="00723FE1" w:rsidRDefault="00723FE1" w:rsidP="003112C7">
            <w:pPr>
              <w:jc w:val="center"/>
              <w:rPr>
                <w:sz w:val="22"/>
                <w:szCs w:val="22"/>
              </w:rPr>
            </w:pPr>
            <w:r w:rsidRPr="00723FE1">
              <w:rPr>
                <w:sz w:val="22"/>
                <w:szCs w:val="22"/>
              </w:rPr>
              <w:t>7376,4</w:t>
            </w:r>
          </w:p>
          <w:p w:rsidR="00723FE1" w:rsidRDefault="00723FE1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723FE1" w:rsidRPr="000833E7" w:rsidRDefault="00723FE1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120,2</w:t>
            </w:r>
          </w:p>
        </w:tc>
        <w:tc>
          <w:tcPr>
            <w:tcW w:w="1134" w:type="dxa"/>
          </w:tcPr>
          <w:p w:rsidR="00A60A7A" w:rsidRPr="000833E7" w:rsidRDefault="00723FE1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14343,2</w:t>
            </w:r>
          </w:p>
          <w:p w:rsidR="002136E4" w:rsidRDefault="002136E4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3112C7" w:rsidRPr="00723FE1" w:rsidRDefault="00723FE1" w:rsidP="003112C7">
            <w:pPr>
              <w:jc w:val="center"/>
              <w:rPr>
                <w:i/>
                <w:sz w:val="22"/>
                <w:szCs w:val="22"/>
              </w:rPr>
            </w:pPr>
            <w:r w:rsidRPr="00723FE1">
              <w:rPr>
                <w:i/>
                <w:sz w:val="22"/>
                <w:szCs w:val="22"/>
              </w:rPr>
              <w:t>117,2</w:t>
            </w:r>
          </w:p>
          <w:p w:rsidR="002136E4" w:rsidRDefault="002136E4" w:rsidP="003112C7">
            <w:pPr>
              <w:jc w:val="center"/>
              <w:rPr>
                <w:sz w:val="22"/>
                <w:szCs w:val="22"/>
              </w:rPr>
            </w:pPr>
          </w:p>
          <w:p w:rsidR="00A74DB6" w:rsidRPr="000833E7" w:rsidRDefault="00723FE1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4957,4</w:t>
            </w:r>
          </w:p>
          <w:p w:rsidR="002136E4" w:rsidRDefault="002136E4" w:rsidP="00A81058">
            <w:pPr>
              <w:jc w:val="center"/>
              <w:rPr>
                <w:i/>
                <w:sz w:val="22"/>
                <w:szCs w:val="22"/>
              </w:rPr>
            </w:pPr>
          </w:p>
          <w:p w:rsidR="003112C7" w:rsidRDefault="00723FE1" w:rsidP="00A8105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102,0</w:t>
            </w:r>
          </w:p>
          <w:p w:rsidR="002136E4" w:rsidRDefault="002136E4" w:rsidP="00A81058">
            <w:pPr>
              <w:jc w:val="center"/>
              <w:rPr>
                <w:sz w:val="22"/>
                <w:szCs w:val="22"/>
              </w:rPr>
            </w:pPr>
          </w:p>
          <w:p w:rsidR="00723FE1" w:rsidRPr="00723FE1" w:rsidRDefault="00723FE1" w:rsidP="00A81058">
            <w:pPr>
              <w:jc w:val="center"/>
              <w:rPr>
                <w:sz w:val="22"/>
                <w:szCs w:val="22"/>
              </w:rPr>
            </w:pPr>
            <w:r w:rsidRPr="00723FE1">
              <w:rPr>
                <w:sz w:val="22"/>
                <w:szCs w:val="22"/>
              </w:rPr>
              <w:t>9385,8</w:t>
            </w:r>
          </w:p>
          <w:p w:rsidR="00723FE1" w:rsidRDefault="00723FE1" w:rsidP="00A81058">
            <w:pPr>
              <w:jc w:val="center"/>
              <w:rPr>
                <w:i/>
                <w:sz w:val="22"/>
                <w:szCs w:val="22"/>
              </w:rPr>
            </w:pPr>
          </w:p>
          <w:p w:rsidR="00723FE1" w:rsidRPr="000833E7" w:rsidRDefault="00723FE1" w:rsidP="00A8105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127,2</w:t>
            </w:r>
          </w:p>
        </w:tc>
        <w:tc>
          <w:tcPr>
            <w:tcW w:w="1276" w:type="dxa"/>
          </w:tcPr>
          <w:p w:rsidR="00A60A7A" w:rsidRPr="000833E7" w:rsidRDefault="00723FE1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11263,7</w:t>
            </w:r>
          </w:p>
          <w:p w:rsidR="002136E4" w:rsidRDefault="002136E4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3112C7" w:rsidRPr="00723FE1" w:rsidRDefault="00723FE1" w:rsidP="003112C7">
            <w:pPr>
              <w:jc w:val="center"/>
              <w:rPr>
                <w:i/>
                <w:sz w:val="22"/>
                <w:szCs w:val="22"/>
              </w:rPr>
            </w:pPr>
            <w:r w:rsidRPr="00723FE1">
              <w:rPr>
                <w:i/>
                <w:sz w:val="22"/>
                <w:szCs w:val="22"/>
              </w:rPr>
              <w:t>78,5</w:t>
            </w:r>
          </w:p>
          <w:p w:rsidR="002136E4" w:rsidRDefault="002136E4" w:rsidP="003112C7">
            <w:pPr>
              <w:jc w:val="center"/>
              <w:rPr>
                <w:sz w:val="22"/>
                <w:szCs w:val="22"/>
              </w:rPr>
            </w:pPr>
          </w:p>
          <w:p w:rsidR="003112C7" w:rsidRPr="000833E7" w:rsidRDefault="00723FE1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4863,3</w:t>
            </w:r>
          </w:p>
          <w:p w:rsidR="002136E4" w:rsidRDefault="002136E4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3112C7" w:rsidRDefault="00723FE1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98,1</w:t>
            </w:r>
          </w:p>
          <w:p w:rsidR="002136E4" w:rsidRDefault="002136E4" w:rsidP="003112C7">
            <w:pPr>
              <w:jc w:val="center"/>
              <w:rPr>
                <w:sz w:val="22"/>
                <w:szCs w:val="22"/>
              </w:rPr>
            </w:pPr>
          </w:p>
          <w:p w:rsidR="00723FE1" w:rsidRPr="00723FE1" w:rsidRDefault="00723FE1" w:rsidP="003112C7">
            <w:pPr>
              <w:jc w:val="center"/>
              <w:rPr>
                <w:sz w:val="22"/>
                <w:szCs w:val="22"/>
              </w:rPr>
            </w:pPr>
            <w:r w:rsidRPr="00723FE1">
              <w:rPr>
                <w:sz w:val="22"/>
                <w:szCs w:val="22"/>
              </w:rPr>
              <w:t>6400,4</w:t>
            </w:r>
          </w:p>
          <w:p w:rsidR="00723FE1" w:rsidRDefault="00723FE1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723FE1" w:rsidRPr="000833E7" w:rsidRDefault="00723FE1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68,2</w:t>
            </w:r>
          </w:p>
        </w:tc>
        <w:tc>
          <w:tcPr>
            <w:tcW w:w="1134" w:type="dxa"/>
          </w:tcPr>
          <w:p w:rsidR="00A60A7A" w:rsidRPr="000833E7" w:rsidRDefault="00723FE1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9459,4</w:t>
            </w:r>
          </w:p>
          <w:p w:rsidR="002136E4" w:rsidRDefault="002136E4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3112C7" w:rsidRPr="00723FE1" w:rsidRDefault="00723FE1" w:rsidP="003112C7">
            <w:pPr>
              <w:jc w:val="center"/>
              <w:rPr>
                <w:i/>
                <w:sz w:val="22"/>
                <w:szCs w:val="22"/>
              </w:rPr>
            </w:pPr>
            <w:r w:rsidRPr="00723FE1">
              <w:rPr>
                <w:i/>
                <w:sz w:val="22"/>
                <w:szCs w:val="22"/>
              </w:rPr>
              <w:t>84,0</w:t>
            </w:r>
          </w:p>
          <w:p w:rsidR="002136E4" w:rsidRDefault="002136E4" w:rsidP="003112C7">
            <w:pPr>
              <w:jc w:val="center"/>
              <w:rPr>
                <w:sz w:val="22"/>
                <w:szCs w:val="22"/>
              </w:rPr>
            </w:pPr>
          </w:p>
          <w:p w:rsidR="00A60A7A" w:rsidRPr="000833E7" w:rsidRDefault="00723FE1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4824,1</w:t>
            </w:r>
          </w:p>
          <w:p w:rsidR="002136E4" w:rsidRDefault="002136E4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3112C7" w:rsidRDefault="00723FE1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99,2</w:t>
            </w:r>
          </w:p>
          <w:p w:rsidR="002136E4" w:rsidRDefault="002136E4" w:rsidP="003112C7">
            <w:pPr>
              <w:jc w:val="center"/>
              <w:rPr>
                <w:sz w:val="22"/>
                <w:szCs w:val="22"/>
              </w:rPr>
            </w:pPr>
          </w:p>
          <w:p w:rsidR="00723FE1" w:rsidRPr="00723FE1" w:rsidRDefault="00723FE1" w:rsidP="003112C7">
            <w:pPr>
              <w:jc w:val="center"/>
              <w:rPr>
                <w:sz w:val="22"/>
                <w:szCs w:val="22"/>
              </w:rPr>
            </w:pPr>
            <w:r w:rsidRPr="00723FE1">
              <w:rPr>
                <w:sz w:val="22"/>
                <w:szCs w:val="22"/>
              </w:rPr>
              <w:t>4635,3</w:t>
            </w:r>
          </w:p>
          <w:p w:rsidR="00723FE1" w:rsidRDefault="00723FE1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723FE1" w:rsidRPr="000833E7" w:rsidRDefault="00723FE1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72,4</w:t>
            </w:r>
          </w:p>
        </w:tc>
        <w:tc>
          <w:tcPr>
            <w:tcW w:w="1098" w:type="dxa"/>
          </w:tcPr>
          <w:p w:rsidR="00A60A7A" w:rsidRPr="000833E7" w:rsidRDefault="00723FE1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9476,6</w:t>
            </w:r>
          </w:p>
          <w:p w:rsidR="002136E4" w:rsidRDefault="002136E4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3112C7" w:rsidRPr="00723FE1" w:rsidRDefault="00723FE1" w:rsidP="003112C7">
            <w:pPr>
              <w:jc w:val="center"/>
              <w:rPr>
                <w:i/>
                <w:sz w:val="22"/>
                <w:szCs w:val="22"/>
              </w:rPr>
            </w:pPr>
            <w:r w:rsidRPr="00723FE1">
              <w:rPr>
                <w:i/>
                <w:sz w:val="22"/>
                <w:szCs w:val="22"/>
              </w:rPr>
              <w:t>100,2</w:t>
            </w:r>
          </w:p>
          <w:p w:rsidR="002136E4" w:rsidRDefault="002136E4" w:rsidP="003112C7">
            <w:pPr>
              <w:jc w:val="center"/>
              <w:rPr>
                <w:sz w:val="22"/>
                <w:szCs w:val="22"/>
              </w:rPr>
            </w:pPr>
          </w:p>
          <w:p w:rsidR="00A60A7A" w:rsidRPr="000833E7" w:rsidRDefault="00723FE1" w:rsidP="0031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4932,5</w:t>
            </w:r>
          </w:p>
          <w:p w:rsidR="002136E4" w:rsidRDefault="002136E4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3112C7" w:rsidRDefault="00723FE1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102,2</w:t>
            </w:r>
          </w:p>
          <w:p w:rsidR="002136E4" w:rsidRDefault="002136E4" w:rsidP="003112C7">
            <w:pPr>
              <w:jc w:val="center"/>
              <w:rPr>
                <w:sz w:val="22"/>
                <w:szCs w:val="22"/>
              </w:rPr>
            </w:pPr>
          </w:p>
          <w:p w:rsidR="00723FE1" w:rsidRPr="00723FE1" w:rsidRDefault="00723FE1" w:rsidP="003112C7">
            <w:pPr>
              <w:jc w:val="center"/>
              <w:rPr>
                <w:sz w:val="22"/>
                <w:szCs w:val="22"/>
              </w:rPr>
            </w:pPr>
            <w:r w:rsidRPr="00723FE1">
              <w:rPr>
                <w:sz w:val="22"/>
                <w:szCs w:val="22"/>
              </w:rPr>
              <w:t>4544,2</w:t>
            </w:r>
          </w:p>
          <w:p w:rsidR="00723FE1" w:rsidRDefault="00723FE1" w:rsidP="003112C7">
            <w:pPr>
              <w:jc w:val="center"/>
              <w:rPr>
                <w:i/>
                <w:sz w:val="22"/>
                <w:szCs w:val="22"/>
              </w:rPr>
            </w:pPr>
          </w:p>
          <w:p w:rsidR="00723FE1" w:rsidRPr="000833E7" w:rsidRDefault="00723FE1" w:rsidP="003112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98,0</w:t>
            </w:r>
          </w:p>
        </w:tc>
      </w:tr>
    </w:tbl>
    <w:p w:rsidR="00566B68" w:rsidRDefault="00566B68" w:rsidP="000D6FC4">
      <w:pPr>
        <w:ind w:firstLine="708"/>
        <w:jc w:val="both"/>
        <w:rPr>
          <w:sz w:val="28"/>
          <w:szCs w:val="28"/>
        </w:rPr>
      </w:pPr>
    </w:p>
    <w:p w:rsidR="00723FE1" w:rsidRDefault="007B55B9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на 2020 год на 43% сформированы за счет собственных налоговых и нен</w:t>
      </w:r>
      <w:r w:rsidR="00FA1CCD">
        <w:rPr>
          <w:sz w:val="28"/>
          <w:szCs w:val="28"/>
        </w:rPr>
        <w:t>алоговых источников, что в сумме составит 4863,3 млн. рублей. Объем собственных доходов запланирован на уровне поступлений 2018 года,</w:t>
      </w:r>
      <w:r w:rsidR="00C25BB2">
        <w:rPr>
          <w:sz w:val="28"/>
          <w:szCs w:val="28"/>
        </w:rPr>
        <w:t xml:space="preserve"> но</w:t>
      </w:r>
      <w:r w:rsidR="00FA1CCD">
        <w:rPr>
          <w:sz w:val="28"/>
          <w:szCs w:val="28"/>
        </w:rPr>
        <w:t xml:space="preserve"> с незначительным снижением</w:t>
      </w:r>
      <w:r w:rsidR="00B836E5">
        <w:rPr>
          <w:sz w:val="28"/>
          <w:szCs w:val="28"/>
        </w:rPr>
        <w:t xml:space="preserve"> (менее 10%) </w:t>
      </w:r>
      <w:r w:rsidR="00FA1CCD">
        <w:rPr>
          <w:sz w:val="28"/>
          <w:szCs w:val="28"/>
        </w:rPr>
        <w:t xml:space="preserve"> к ожидаемым поступлениям 2019 года.</w:t>
      </w:r>
    </w:p>
    <w:p w:rsidR="00FA1CCD" w:rsidRDefault="00155771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из других уровней бюджетной системы планируются в сумме 6400,4 млн. руб. или 57,0% от общего объема доходов. </w:t>
      </w:r>
    </w:p>
    <w:p w:rsidR="00155771" w:rsidRDefault="00155771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сложившейся практике первоначально запланированная сумма безвозмездных поступлений в течение финансового года значительно возрастает, </w:t>
      </w:r>
      <w:r w:rsidR="00C25BB2">
        <w:rPr>
          <w:sz w:val="28"/>
          <w:szCs w:val="28"/>
        </w:rPr>
        <w:t>по мере принятия</w:t>
      </w:r>
      <w:r w:rsidR="00B836E5">
        <w:rPr>
          <w:sz w:val="28"/>
          <w:szCs w:val="28"/>
        </w:rPr>
        <w:t xml:space="preserve"> решения </w:t>
      </w:r>
      <w:proofErr w:type="gramStart"/>
      <w:r w:rsidR="00B836E5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выделени</w:t>
      </w:r>
      <w:r w:rsidR="00C25BB2"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средств из бюджетов других уровней.</w:t>
      </w:r>
    </w:p>
    <w:p w:rsidR="00155771" w:rsidRDefault="00C25BB2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 w:rsidR="00155771">
        <w:rPr>
          <w:sz w:val="28"/>
          <w:szCs w:val="28"/>
        </w:rPr>
        <w:t xml:space="preserve"> величина собственных доходов бюджета города </w:t>
      </w:r>
      <w:r w:rsidR="00566B68">
        <w:rPr>
          <w:sz w:val="28"/>
          <w:szCs w:val="28"/>
        </w:rPr>
        <w:t>значительных изменений не претерпевает и</w:t>
      </w:r>
      <w:r w:rsidR="00155771">
        <w:rPr>
          <w:sz w:val="28"/>
          <w:szCs w:val="28"/>
        </w:rPr>
        <w:t xml:space="preserve"> сохраняется в параметрах 4,5-5,0 млрд. рублей.</w:t>
      </w:r>
    </w:p>
    <w:p w:rsidR="00566B68" w:rsidRDefault="00566B68" w:rsidP="00C25BB2">
      <w:pPr>
        <w:ind w:firstLine="708"/>
        <w:jc w:val="both"/>
        <w:rPr>
          <w:sz w:val="28"/>
          <w:szCs w:val="28"/>
        </w:rPr>
      </w:pPr>
    </w:p>
    <w:p w:rsidR="00566B68" w:rsidRDefault="00566B68" w:rsidP="00C25BB2">
      <w:pPr>
        <w:ind w:firstLine="708"/>
        <w:jc w:val="both"/>
        <w:rPr>
          <w:sz w:val="28"/>
          <w:szCs w:val="28"/>
        </w:rPr>
      </w:pPr>
    </w:p>
    <w:p w:rsidR="00566B68" w:rsidRDefault="00566B68" w:rsidP="00C25BB2">
      <w:pPr>
        <w:ind w:firstLine="708"/>
        <w:jc w:val="both"/>
        <w:rPr>
          <w:sz w:val="28"/>
          <w:szCs w:val="28"/>
        </w:rPr>
      </w:pPr>
    </w:p>
    <w:p w:rsidR="00566B68" w:rsidRDefault="00566B68" w:rsidP="00C25BB2">
      <w:pPr>
        <w:ind w:firstLine="708"/>
        <w:jc w:val="both"/>
        <w:rPr>
          <w:sz w:val="28"/>
          <w:szCs w:val="28"/>
        </w:rPr>
      </w:pPr>
    </w:p>
    <w:p w:rsidR="00566B68" w:rsidRDefault="00566B68" w:rsidP="00C25BB2">
      <w:pPr>
        <w:ind w:firstLine="708"/>
        <w:jc w:val="both"/>
        <w:rPr>
          <w:sz w:val="28"/>
          <w:szCs w:val="28"/>
        </w:rPr>
      </w:pPr>
    </w:p>
    <w:p w:rsidR="00566B68" w:rsidRDefault="00566B68" w:rsidP="00C25BB2">
      <w:pPr>
        <w:ind w:firstLine="708"/>
        <w:jc w:val="both"/>
        <w:rPr>
          <w:sz w:val="28"/>
          <w:szCs w:val="28"/>
        </w:rPr>
      </w:pPr>
    </w:p>
    <w:p w:rsidR="00566B68" w:rsidRDefault="00566B68" w:rsidP="00C25BB2">
      <w:pPr>
        <w:ind w:firstLine="708"/>
        <w:jc w:val="both"/>
        <w:rPr>
          <w:sz w:val="28"/>
          <w:szCs w:val="28"/>
        </w:rPr>
      </w:pPr>
    </w:p>
    <w:p w:rsidR="00C25BB2" w:rsidRPr="00C25BB2" w:rsidRDefault="00C25BB2" w:rsidP="00C25BB2">
      <w:pPr>
        <w:ind w:firstLine="708"/>
        <w:jc w:val="both"/>
        <w:rPr>
          <w:sz w:val="28"/>
          <w:szCs w:val="28"/>
        </w:rPr>
      </w:pPr>
      <w:r w:rsidRPr="00C25BB2">
        <w:rPr>
          <w:sz w:val="28"/>
          <w:szCs w:val="28"/>
        </w:rPr>
        <w:lastRenderedPageBreak/>
        <w:t>Динамика собственных и привлеченных доходных источников представлена следующим графиком.</w:t>
      </w:r>
    </w:p>
    <w:p w:rsidR="009E5A7D" w:rsidRDefault="009E5A7D" w:rsidP="00C25BB2">
      <w:pPr>
        <w:ind w:firstLine="708"/>
        <w:jc w:val="right"/>
        <w:rPr>
          <w:sz w:val="24"/>
          <w:szCs w:val="24"/>
        </w:rPr>
      </w:pPr>
    </w:p>
    <w:p w:rsidR="00C25BB2" w:rsidRDefault="00566B68" w:rsidP="00C25BB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C25BB2">
        <w:rPr>
          <w:sz w:val="24"/>
          <w:szCs w:val="24"/>
        </w:rPr>
        <w:t>лн. руб.</w:t>
      </w:r>
    </w:p>
    <w:p w:rsidR="00C25BB2" w:rsidRDefault="00C25BB2" w:rsidP="000D6FC4">
      <w:pPr>
        <w:ind w:firstLine="708"/>
        <w:jc w:val="both"/>
        <w:rPr>
          <w:sz w:val="28"/>
          <w:szCs w:val="28"/>
        </w:rPr>
      </w:pPr>
      <w:r w:rsidRPr="008352DF">
        <w:rPr>
          <w:noProof/>
          <w:color w:val="C00000"/>
          <w:sz w:val="28"/>
          <w:szCs w:val="28"/>
        </w:rPr>
        <w:drawing>
          <wp:inline distT="0" distB="0" distL="0" distR="0" wp14:anchorId="2EE5D986" wp14:editId="42D6B309">
            <wp:extent cx="5534025" cy="44291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5BB2" w:rsidRDefault="00C25BB2" w:rsidP="000D6FC4">
      <w:pPr>
        <w:ind w:firstLine="708"/>
        <w:jc w:val="both"/>
        <w:rPr>
          <w:sz w:val="28"/>
          <w:szCs w:val="28"/>
        </w:rPr>
      </w:pPr>
    </w:p>
    <w:p w:rsidR="00C25BB2" w:rsidRDefault="00C25BB2" w:rsidP="00C25BB2">
      <w:pPr>
        <w:jc w:val="both"/>
        <w:rPr>
          <w:sz w:val="28"/>
          <w:szCs w:val="28"/>
        </w:rPr>
      </w:pPr>
    </w:p>
    <w:p w:rsidR="00723FE1" w:rsidRDefault="00C25BB2" w:rsidP="00EC5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приведенных данных видно, что</w:t>
      </w:r>
      <w:r w:rsidR="007C3B21">
        <w:rPr>
          <w:sz w:val="28"/>
          <w:szCs w:val="28"/>
        </w:rPr>
        <w:t xml:space="preserve"> собственные доходы на протяжении ряда лет не увеличивались,</w:t>
      </w:r>
      <w:r>
        <w:rPr>
          <w:sz w:val="28"/>
          <w:szCs w:val="28"/>
        </w:rPr>
        <w:t xml:space="preserve"> ф</w:t>
      </w:r>
      <w:r w:rsidR="00155771">
        <w:rPr>
          <w:sz w:val="28"/>
          <w:szCs w:val="28"/>
        </w:rPr>
        <w:t>актически рост объема бюджета</w:t>
      </w:r>
      <w:r>
        <w:rPr>
          <w:sz w:val="28"/>
          <w:szCs w:val="28"/>
        </w:rPr>
        <w:t xml:space="preserve"> города</w:t>
      </w:r>
      <w:r w:rsidR="00155771">
        <w:rPr>
          <w:sz w:val="28"/>
          <w:szCs w:val="28"/>
        </w:rPr>
        <w:t xml:space="preserve"> происходит за</w:t>
      </w:r>
      <w:r w:rsidR="00D45EE8">
        <w:rPr>
          <w:sz w:val="28"/>
          <w:szCs w:val="28"/>
        </w:rPr>
        <w:t xml:space="preserve"> счет безвозмездных поступлений</w:t>
      </w:r>
      <w:r w:rsidR="00761D5A">
        <w:rPr>
          <w:sz w:val="28"/>
          <w:szCs w:val="28"/>
        </w:rPr>
        <w:t>, что свидетельствует об увеличении зависимости</w:t>
      </w:r>
      <w:r w:rsidR="007C3B21">
        <w:rPr>
          <w:sz w:val="28"/>
          <w:szCs w:val="28"/>
        </w:rPr>
        <w:t xml:space="preserve"> города</w:t>
      </w:r>
      <w:r w:rsidR="00761D5A">
        <w:rPr>
          <w:sz w:val="28"/>
          <w:szCs w:val="28"/>
        </w:rPr>
        <w:t xml:space="preserve"> от бюджетов других уровней и</w:t>
      </w:r>
      <w:r>
        <w:rPr>
          <w:sz w:val="28"/>
          <w:szCs w:val="28"/>
        </w:rPr>
        <w:t xml:space="preserve"> вызывает</w:t>
      </w:r>
      <w:r w:rsidR="00761D5A">
        <w:rPr>
          <w:sz w:val="28"/>
          <w:szCs w:val="28"/>
        </w:rPr>
        <w:t xml:space="preserve"> необходимост</w:t>
      </w:r>
      <w:r>
        <w:rPr>
          <w:sz w:val="28"/>
          <w:szCs w:val="28"/>
        </w:rPr>
        <w:t>ь</w:t>
      </w:r>
      <w:r w:rsidR="00761D5A">
        <w:rPr>
          <w:sz w:val="28"/>
          <w:szCs w:val="28"/>
        </w:rPr>
        <w:t xml:space="preserve"> выделять значительные средства для обеспечения условий </w:t>
      </w:r>
      <w:proofErr w:type="spellStart"/>
      <w:r w:rsidR="00761D5A">
        <w:rPr>
          <w:sz w:val="28"/>
          <w:szCs w:val="28"/>
        </w:rPr>
        <w:t>софинансирования</w:t>
      </w:r>
      <w:proofErr w:type="spellEnd"/>
      <w:r w:rsidR="00761D5A">
        <w:rPr>
          <w:sz w:val="28"/>
          <w:szCs w:val="28"/>
        </w:rPr>
        <w:t>.</w:t>
      </w:r>
    </w:p>
    <w:p w:rsidR="004A42DD" w:rsidRDefault="004A42DD" w:rsidP="000D6FC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составе информации к проекту бюджета, в соответствии со статьей 47.1 Бюджетного кодекса РФ представлен «Реестр источников доходов бюджета города Липецка на 2020 год и на плановый период 2021 и 2022 годов», в котором отражено 169 наименований доходов бюджета города с указанием кода бюджетной классификации, главного администратора дохода и прогноза поступлений по каждому доходному источнику.</w:t>
      </w:r>
      <w:proofErr w:type="gramEnd"/>
    </w:p>
    <w:p w:rsidR="007D6AFF" w:rsidRDefault="007D6AFF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 w:rsidR="00EC5CB6">
        <w:rPr>
          <w:sz w:val="28"/>
          <w:szCs w:val="28"/>
        </w:rPr>
        <w:t xml:space="preserve"> о</w:t>
      </w:r>
      <w:r w:rsidR="006E32F9">
        <w:rPr>
          <w:sz w:val="28"/>
          <w:szCs w:val="28"/>
        </w:rPr>
        <w:t>сновных</w:t>
      </w:r>
      <w:r>
        <w:rPr>
          <w:sz w:val="28"/>
          <w:szCs w:val="28"/>
        </w:rPr>
        <w:t xml:space="preserve"> налоговых и неналоговых доходов бюджета города на 2020 год представлена следующими доходными источниками.</w:t>
      </w:r>
    </w:p>
    <w:p w:rsidR="00723FE1" w:rsidRDefault="004A42DD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FE1" w:rsidRDefault="00723FE1" w:rsidP="000D6FC4">
      <w:pPr>
        <w:ind w:firstLine="708"/>
        <w:jc w:val="both"/>
        <w:rPr>
          <w:sz w:val="28"/>
          <w:szCs w:val="28"/>
        </w:rPr>
      </w:pPr>
    </w:p>
    <w:p w:rsidR="00723FE1" w:rsidRDefault="00723FE1" w:rsidP="000D6FC4">
      <w:pPr>
        <w:ind w:firstLine="708"/>
        <w:jc w:val="both"/>
        <w:rPr>
          <w:sz w:val="28"/>
          <w:szCs w:val="28"/>
        </w:rPr>
      </w:pPr>
    </w:p>
    <w:p w:rsidR="00723FE1" w:rsidRDefault="00723FE1" w:rsidP="000D6FC4">
      <w:pPr>
        <w:ind w:firstLine="708"/>
        <w:jc w:val="both"/>
        <w:rPr>
          <w:sz w:val="28"/>
          <w:szCs w:val="28"/>
        </w:rPr>
      </w:pPr>
    </w:p>
    <w:p w:rsidR="00723FE1" w:rsidRDefault="00A61732" w:rsidP="000D6FC4">
      <w:pPr>
        <w:ind w:firstLine="708"/>
        <w:jc w:val="both"/>
        <w:rPr>
          <w:sz w:val="28"/>
          <w:szCs w:val="28"/>
        </w:rPr>
      </w:pPr>
      <w:r w:rsidRPr="00A74EA3">
        <w:rPr>
          <w:noProof/>
          <w:sz w:val="28"/>
          <w:szCs w:val="28"/>
          <w:u w:val="single"/>
        </w:rPr>
        <w:lastRenderedPageBreak/>
        <w:drawing>
          <wp:inline distT="0" distB="0" distL="0" distR="0" wp14:anchorId="21A3BC73" wp14:editId="218149DE">
            <wp:extent cx="5667375" cy="39433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3FE1" w:rsidRDefault="00723FE1" w:rsidP="000D6FC4">
      <w:pPr>
        <w:ind w:firstLine="708"/>
        <w:jc w:val="both"/>
        <w:rPr>
          <w:sz w:val="28"/>
          <w:szCs w:val="28"/>
        </w:rPr>
      </w:pPr>
    </w:p>
    <w:p w:rsidR="00723FE1" w:rsidRDefault="003F0B14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 более 75% собственных доходов бюджета города будут обеспечивать два основных налоговых источника  - отчисления налога на доходы физических лиц</w:t>
      </w:r>
      <w:r w:rsidR="00C67063">
        <w:rPr>
          <w:sz w:val="28"/>
          <w:szCs w:val="28"/>
        </w:rPr>
        <w:t xml:space="preserve"> (2568,2 млн. руб.)</w:t>
      </w:r>
      <w:r>
        <w:rPr>
          <w:sz w:val="28"/>
          <w:szCs w:val="28"/>
        </w:rPr>
        <w:t xml:space="preserve"> и земельный налог (1099,4 млн. руб.).</w:t>
      </w:r>
    </w:p>
    <w:p w:rsidR="003F0B14" w:rsidRDefault="00FB0987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налоги малого бизнеса - единый налог  на вмененный доход и плата за патент обеспечат чуть более 5% собственн</w:t>
      </w:r>
      <w:r w:rsidR="00D01147">
        <w:rPr>
          <w:sz w:val="28"/>
          <w:szCs w:val="28"/>
        </w:rPr>
        <w:t>ых доходов</w:t>
      </w:r>
      <w:r>
        <w:rPr>
          <w:sz w:val="28"/>
          <w:szCs w:val="28"/>
        </w:rPr>
        <w:t xml:space="preserve"> бюджета, что в абсолютной сумме составляет 256,4 млн. рублей.</w:t>
      </w:r>
    </w:p>
    <w:p w:rsidR="00FB0987" w:rsidRDefault="00FB0987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доходов от использования муниципальной собственности (аренда земли и муниципального имущества) составит 7 процентов</w:t>
      </w:r>
      <w:r w:rsidR="00386472">
        <w:rPr>
          <w:sz w:val="28"/>
          <w:szCs w:val="28"/>
        </w:rPr>
        <w:t>,</w:t>
      </w:r>
      <w:r>
        <w:rPr>
          <w:sz w:val="28"/>
          <w:szCs w:val="28"/>
        </w:rPr>
        <w:t xml:space="preserve"> от продажи муниципальных активов – 2,4 процента.</w:t>
      </w:r>
    </w:p>
    <w:p w:rsidR="00FB0987" w:rsidRDefault="00D07853" w:rsidP="000D6FC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Расчеты поступлений платежей по основным доходным источникам </w:t>
      </w:r>
      <w:r w:rsidR="00386472">
        <w:rPr>
          <w:sz w:val="28"/>
          <w:szCs w:val="28"/>
        </w:rPr>
        <w:t>основаны на</w:t>
      </w:r>
      <w:r>
        <w:rPr>
          <w:sz w:val="28"/>
          <w:szCs w:val="28"/>
        </w:rPr>
        <w:t xml:space="preserve"> сведения</w:t>
      </w:r>
      <w:r w:rsidR="00386472">
        <w:rPr>
          <w:sz w:val="28"/>
          <w:szCs w:val="28"/>
        </w:rPr>
        <w:t>х</w:t>
      </w:r>
      <w:r>
        <w:rPr>
          <w:sz w:val="28"/>
          <w:szCs w:val="28"/>
        </w:rPr>
        <w:t>, предоставленны</w:t>
      </w:r>
      <w:r w:rsidR="00386472">
        <w:rPr>
          <w:sz w:val="28"/>
          <w:szCs w:val="28"/>
        </w:rPr>
        <w:t>х</w:t>
      </w:r>
      <w:r>
        <w:rPr>
          <w:sz w:val="28"/>
          <w:szCs w:val="28"/>
        </w:rPr>
        <w:t xml:space="preserve"> главными администраторами доходов, подготовленным на основании утвержденных методик прогнозирования поступлений доходов в бюджет, в соответствии с общими требованиями к такой методике, установленными Правительством РФ.</w:t>
      </w:r>
      <w:proofErr w:type="gramEnd"/>
    </w:p>
    <w:p w:rsidR="00D07853" w:rsidRDefault="00D07853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</w:t>
      </w:r>
      <w:r w:rsidR="003A7E5F">
        <w:rPr>
          <w:sz w:val="28"/>
          <w:szCs w:val="28"/>
        </w:rPr>
        <w:t xml:space="preserve"> в представленных материалах</w:t>
      </w:r>
      <w:r>
        <w:rPr>
          <w:sz w:val="28"/>
          <w:szCs w:val="28"/>
        </w:rPr>
        <w:t xml:space="preserve"> по отдельным видам доходов приведены только цифровые значения прогнозируемых доходов без указания метода прогнозирования или формул расчета, без приведения конкретных расчетов.</w:t>
      </w:r>
    </w:p>
    <w:p w:rsidR="003A7E5F" w:rsidRDefault="00C80F58" w:rsidP="000D6FC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Выборочной проверкой утвержденных методик формирования доходов установлено, что для исчисления объема поступлений доходов, получаемых от сдачи в аренду имущества и земельных участков, включенных в состав муниципальной казны города Липецка, применяется формула, где сумма годовых начислений арендных платежей с учетом заключения новых (расторжения</w:t>
      </w:r>
      <w:r w:rsidR="00386472">
        <w:rPr>
          <w:sz w:val="28"/>
          <w:szCs w:val="28"/>
        </w:rPr>
        <w:t xml:space="preserve"> действующих</w:t>
      </w:r>
      <w:r>
        <w:rPr>
          <w:sz w:val="28"/>
          <w:szCs w:val="28"/>
        </w:rPr>
        <w:t xml:space="preserve">) договоров аренды и средств, планируемых к </w:t>
      </w:r>
      <w:r>
        <w:rPr>
          <w:sz w:val="28"/>
          <w:szCs w:val="28"/>
        </w:rPr>
        <w:lastRenderedPageBreak/>
        <w:t xml:space="preserve">поступлению по </w:t>
      </w:r>
      <w:r w:rsidR="00D01147">
        <w:rPr>
          <w:sz w:val="28"/>
          <w:szCs w:val="28"/>
        </w:rPr>
        <w:t>не</w:t>
      </w:r>
      <w:r>
        <w:rPr>
          <w:sz w:val="28"/>
          <w:szCs w:val="28"/>
        </w:rPr>
        <w:t>исполненным обязательствам, корректируется на коэффициент собираемости платежей</w:t>
      </w:r>
      <w:r w:rsidR="004A3D81">
        <w:rPr>
          <w:sz w:val="28"/>
          <w:szCs w:val="28"/>
        </w:rPr>
        <w:t>.</w:t>
      </w:r>
      <w:proofErr w:type="gramEnd"/>
    </w:p>
    <w:p w:rsidR="004A3D81" w:rsidRPr="004A3D81" w:rsidRDefault="004A3D81" w:rsidP="000D6FC4">
      <w:pPr>
        <w:ind w:firstLine="708"/>
        <w:jc w:val="both"/>
        <w:rPr>
          <w:i/>
          <w:sz w:val="28"/>
          <w:szCs w:val="28"/>
        </w:rPr>
      </w:pPr>
      <w:r w:rsidRPr="004A3D81">
        <w:rPr>
          <w:i/>
          <w:sz w:val="28"/>
          <w:szCs w:val="28"/>
        </w:rPr>
        <w:t>Счетная палата считает некорректным пересчет на коэффициент собираемости суммы платежей, планир</w:t>
      </w:r>
      <w:r w:rsidR="00D01147">
        <w:rPr>
          <w:i/>
          <w:sz w:val="28"/>
          <w:szCs w:val="28"/>
        </w:rPr>
        <w:t>уемых к поступлению по ранее не</w:t>
      </w:r>
      <w:r w:rsidRPr="004A3D81">
        <w:rPr>
          <w:i/>
          <w:sz w:val="28"/>
          <w:szCs w:val="28"/>
        </w:rPr>
        <w:t>исполненным обязательствам (задолженности).</w:t>
      </w:r>
    </w:p>
    <w:p w:rsidR="004A3D81" w:rsidRDefault="004A3D81" w:rsidP="000D6FC4">
      <w:pPr>
        <w:ind w:firstLine="708"/>
        <w:jc w:val="both"/>
        <w:rPr>
          <w:sz w:val="28"/>
          <w:szCs w:val="28"/>
        </w:rPr>
      </w:pPr>
      <w:r w:rsidRPr="004A3D81">
        <w:rPr>
          <w:i/>
          <w:sz w:val="28"/>
          <w:szCs w:val="28"/>
        </w:rPr>
        <w:t>В связи с чем</w:t>
      </w:r>
      <w:r w:rsidR="005C6009">
        <w:rPr>
          <w:i/>
          <w:sz w:val="28"/>
          <w:szCs w:val="28"/>
        </w:rPr>
        <w:t>,</w:t>
      </w:r>
      <w:r w:rsidRPr="004A3D81">
        <w:rPr>
          <w:i/>
          <w:sz w:val="28"/>
          <w:szCs w:val="28"/>
        </w:rPr>
        <w:t xml:space="preserve"> рекомендуем внести изменения в формулы расчета плановых поступлений арендной платы за земельные участки и имущество муниципальной казны</w:t>
      </w:r>
      <w:r>
        <w:rPr>
          <w:sz w:val="28"/>
          <w:szCs w:val="28"/>
        </w:rPr>
        <w:t>.</w:t>
      </w:r>
    </w:p>
    <w:p w:rsidR="00D07853" w:rsidRDefault="00D07853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</w:t>
      </w:r>
      <w:proofErr w:type="spellStart"/>
      <w:r>
        <w:rPr>
          <w:sz w:val="28"/>
          <w:szCs w:val="28"/>
        </w:rPr>
        <w:t>камерально</w:t>
      </w:r>
      <w:proofErr w:type="spellEnd"/>
      <w:r>
        <w:rPr>
          <w:sz w:val="28"/>
          <w:szCs w:val="28"/>
        </w:rPr>
        <w:t xml:space="preserve"> расчеты поступлений по основным доходным источникам, отмечаем следующее.</w:t>
      </w:r>
    </w:p>
    <w:p w:rsidR="00382CCB" w:rsidRDefault="00382CCB" w:rsidP="00382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 w:rsidRPr="00C542E5">
        <w:rPr>
          <w:b/>
          <w:i/>
          <w:sz w:val="28"/>
          <w:szCs w:val="28"/>
        </w:rPr>
        <w:t>налога на доходы физических лиц</w:t>
      </w:r>
      <w:r>
        <w:rPr>
          <w:b/>
          <w:i/>
          <w:sz w:val="28"/>
          <w:szCs w:val="28"/>
        </w:rPr>
        <w:t xml:space="preserve"> </w:t>
      </w:r>
      <w:r w:rsidRPr="00382CCB">
        <w:rPr>
          <w:sz w:val="28"/>
          <w:szCs w:val="28"/>
        </w:rPr>
        <w:t>(далее НДФЛ)</w:t>
      </w:r>
      <w:r>
        <w:rPr>
          <w:sz w:val="28"/>
          <w:szCs w:val="28"/>
        </w:rPr>
        <w:t xml:space="preserve"> в динамике характеризуется следующими данными:</w:t>
      </w:r>
    </w:p>
    <w:tbl>
      <w:tblPr>
        <w:tblStyle w:val="a4"/>
        <w:tblW w:w="9268" w:type="dxa"/>
        <w:tblInd w:w="108" w:type="dxa"/>
        <w:tblLook w:val="04A0" w:firstRow="1" w:lastRow="0" w:firstColumn="1" w:lastColumn="0" w:noHBand="0" w:noVBand="1"/>
      </w:tblPr>
      <w:tblGrid>
        <w:gridCol w:w="3686"/>
        <w:gridCol w:w="1046"/>
        <w:gridCol w:w="1559"/>
        <w:gridCol w:w="992"/>
        <w:gridCol w:w="993"/>
        <w:gridCol w:w="992"/>
      </w:tblGrid>
      <w:tr w:rsidR="006D7C98" w:rsidTr="00D01147">
        <w:trPr>
          <w:trHeight w:val="562"/>
        </w:trPr>
        <w:tc>
          <w:tcPr>
            <w:tcW w:w="3686" w:type="dxa"/>
          </w:tcPr>
          <w:p w:rsidR="006D7C98" w:rsidRPr="001953C6" w:rsidRDefault="006D7C98" w:rsidP="006D7C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  <w:p w:rsidR="006D7C98" w:rsidRPr="001953C6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6D7C98" w:rsidRP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2019</w:t>
            </w:r>
            <w:r>
              <w:rPr>
                <w:sz w:val="24"/>
                <w:szCs w:val="24"/>
              </w:rPr>
              <w:t xml:space="preserve"> г.</w:t>
            </w:r>
          </w:p>
          <w:p w:rsidR="006D7C98" w:rsidRP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исполнения</w:t>
            </w:r>
          </w:p>
        </w:tc>
        <w:tc>
          <w:tcPr>
            <w:tcW w:w="992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993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6D7C98" w:rsidTr="00D01147">
        <w:tc>
          <w:tcPr>
            <w:tcW w:w="3686" w:type="dxa"/>
          </w:tcPr>
          <w:p w:rsidR="006D7C98" w:rsidRDefault="006D7C98" w:rsidP="006D7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поступлений </w:t>
            </w:r>
          </w:p>
          <w:p w:rsidR="006D7C98" w:rsidRPr="001953C6" w:rsidRDefault="006D7C98" w:rsidP="006D7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(млн. руб.)</w:t>
            </w:r>
          </w:p>
        </w:tc>
        <w:tc>
          <w:tcPr>
            <w:tcW w:w="1046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</w:t>
            </w:r>
          </w:p>
        </w:tc>
        <w:tc>
          <w:tcPr>
            <w:tcW w:w="1559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2442,7</w:t>
            </w:r>
          </w:p>
        </w:tc>
        <w:tc>
          <w:tcPr>
            <w:tcW w:w="992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2568,2</w:t>
            </w:r>
          </w:p>
        </w:tc>
        <w:tc>
          <w:tcPr>
            <w:tcW w:w="993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2664,1</w:t>
            </w:r>
          </w:p>
        </w:tc>
        <w:tc>
          <w:tcPr>
            <w:tcW w:w="992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2785,8</w:t>
            </w:r>
          </w:p>
        </w:tc>
      </w:tr>
      <w:tr w:rsidR="006D7C98" w:rsidTr="00D01147">
        <w:tc>
          <w:tcPr>
            <w:tcW w:w="3686" w:type="dxa"/>
          </w:tcPr>
          <w:p w:rsidR="006D7C98" w:rsidRPr="001953C6" w:rsidRDefault="006D7C98" w:rsidP="006D7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отчислений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6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559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992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18,22</w:t>
            </w:r>
          </w:p>
        </w:tc>
        <w:tc>
          <w:tcPr>
            <w:tcW w:w="993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92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16,93</w:t>
            </w:r>
          </w:p>
        </w:tc>
      </w:tr>
      <w:tr w:rsidR="006D7C98" w:rsidTr="00D01147">
        <w:tc>
          <w:tcPr>
            <w:tcW w:w="3686" w:type="dxa"/>
          </w:tcPr>
          <w:p w:rsidR="006D7C98" w:rsidRDefault="006D7C98" w:rsidP="006D7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фонда оплаты труда </w:t>
            </w:r>
          </w:p>
          <w:p w:rsidR="006D7C98" w:rsidRPr="001953C6" w:rsidRDefault="006D7C98" w:rsidP="006D7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 к прошлому году)</w:t>
            </w:r>
          </w:p>
        </w:tc>
        <w:tc>
          <w:tcPr>
            <w:tcW w:w="1046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993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992" w:type="dxa"/>
          </w:tcPr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</w:p>
          <w:p w:rsidR="006D7C98" w:rsidRDefault="006D7C98" w:rsidP="006D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</w:tr>
    </w:tbl>
    <w:p w:rsidR="00382CCB" w:rsidRPr="008254E3" w:rsidRDefault="00382CCB" w:rsidP="00382CCB">
      <w:pPr>
        <w:ind w:firstLine="708"/>
        <w:jc w:val="both"/>
        <w:rPr>
          <w:color w:val="FF0000"/>
          <w:sz w:val="28"/>
          <w:szCs w:val="28"/>
        </w:rPr>
      </w:pPr>
    </w:p>
    <w:p w:rsidR="00382CCB" w:rsidRDefault="00382CCB" w:rsidP="00382CCB">
      <w:pPr>
        <w:ind w:firstLine="708"/>
        <w:jc w:val="both"/>
        <w:rPr>
          <w:sz w:val="28"/>
          <w:szCs w:val="28"/>
        </w:rPr>
      </w:pPr>
      <w:r w:rsidRPr="006D7C98">
        <w:rPr>
          <w:sz w:val="28"/>
          <w:szCs w:val="28"/>
        </w:rPr>
        <w:t>На 20</w:t>
      </w:r>
      <w:r w:rsidR="006D7C98" w:rsidRPr="006D7C98">
        <w:rPr>
          <w:sz w:val="28"/>
          <w:szCs w:val="28"/>
        </w:rPr>
        <w:t>20</w:t>
      </w:r>
      <w:r w:rsidRPr="006D7C98">
        <w:rPr>
          <w:sz w:val="28"/>
          <w:szCs w:val="28"/>
        </w:rPr>
        <w:t xml:space="preserve"> год в бюджете города поступления НДФЛ </w:t>
      </w:r>
      <w:r w:rsidR="006D7C98">
        <w:rPr>
          <w:sz w:val="28"/>
          <w:szCs w:val="28"/>
        </w:rPr>
        <w:t>планируются в сумме 2568,2 мл</w:t>
      </w:r>
      <w:r w:rsidR="00D01147">
        <w:rPr>
          <w:sz w:val="28"/>
          <w:szCs w:val="28"/>
        </w:rPr>
        <w:t>н. руб., что на 125,5 млн. руб.</w:t>
      </w:r>
      <w:r w:rsidR="006D7C98">
        <w:rPr>
          <w:sz w:val="28"/>
          <w:szCs w:val="28"/>
        </w:rPr>
        <w:t xml:space="preserve"> или на 5,1% больше ожидаемой оценки поступлений в 2019 году.</w:t>
      </w:r>
    </w:p>
    <w:p w:rsidR="006D7C98" w:rsidRDefault="006D7C98" w:rsidP="00382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темп роста фонда оплаты труда прогнозируется </w:t>
      </w:r>
      <w:r w:rsidR="00C4467D">
        <w:rPr>
          <w:sz w:val="28"/>
          <w:szCs w:val="28"/>
        </w:rPr>
        <w:t>на уровне 109,2% к прошлому году.</w:t>
      </w:r>
    </w:p>
    <w:p w:rsidR="00C4467D" w:rsidRDefault="00C4467D" w:rsidP="00382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плановых поступлений произведен с учетом прогнозируемого роста фонда оплаты труда, а также влияния следующих факторов:</w:t>
      </w:r>
    </w:p>
    <w:p w:rsidR="00C4467D" w:rsidRDefault="00C4467D" w:rsidP="00382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ежегодного увеличения суммы имущественных и социальных вычетов </w:t>
      </w:r>
      <w:r w:rsidR="005C6009">
        <w:rPr>
          <w:sz w:val="28"/>
          <w:szCs w:val="28"/>
        </w:rPr>
        <w:t>- 59 млн. руб.</w:t>
      </w:r>
      <w:r>
        <w:rPr>
          <w:sz w:val="28"/>
          <w:szCs w:val="28"/>
        </w:rPr>
        <w:t>;</w:t>
      </w:r>
    </w:p>
    <w:p w:rsidR="00C4467D" w:rsidRDefault="00C4467D" w:rsidP="00382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</w:t>
      </w:r>
      <w:r w:rsidR="00883E69">
        <w:rPr>
          <w:sz w:val="28"/>
          <w:szCs w:val="28"/>
        </w:rPr>
        <w:t>я</w:t>
      </w:r>
      <w:r>
        <w:rPr>
          <w:sz w:val="28"/>
          <w:szCs w:val="28"/>
        </w:rPr>
        <w:t xml:space="preserve"> норматива отчислений налога в бюджет города с 18,7% до 18,22%;</w:t>
      </w:r>
    </w:p>
    <w:p w:rsidR="00C4467D" w:rsidRDefault="00C4467D" w:rsidP="00382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сумм</w:t>
      </w:r>
      <w:r w:rsidR="00883E69">
        <w:rPr>
          <w:sz w:val="28"/>
          <w:szCs w:val="28"/>
        </w:rPr>
        <w:t>ы</w:t>
      </w:r>
      <w:r>
        <w:rPr>
          <w:sz w:val="28"/>
          <w:szCs w:val="28"/>
        </w:rPr>
        <w:t xml:space="preserve"> разовых поступлений налога от физических лиц по декларациям 3-НДФЛ (+41 млн. руб.);</w:t>
      </w:r>
    </w:p>
    <w:p w:rsidR="00C4467D" w:rsidRDefault="00C4467D" w:rsidP="00382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планируемого поступления средств из недоимки (+35 млн. руб.).</w:t>
      </w:r>
    </w:p>
    <w:p w:rsidR="00C4467D" w:rsidRDefault="00C4467D" w:rsidP="00382CCB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Учитывая активизацию работы по привлечению к налогообложению </w:t>
      </w:r>
      <w:proofErr w:type="spellStart"/>
      <w:r w:rsidR="008D3D7F">
        <w:rPr>
          <w:i/>
          <w:sz w:val="28"/>
          <w:szCs w:val="28"/>
        </w:rPr>
        <w:t>самозанятых</w:t>
      </w:r>
      <w:proofErr w:type="spellEnd"/>
      <w:r w:rsidR="008D3D7F">
        <w:rPr>
          <w:i/>
          <w:sz w:val="28"/>
          <w:szCs w:val="28"/>
        </w:rPr>
        <w:t xml:space="preserve"> граждан, лиц без гражданства РФ, а также увеличение количества работающих по договорам гражданско-правового характера в предстоящем году не усматривается причин снижения налогооблагаемой базы по статье 228 Налогового кодекса РФ. В связи с этим, ожидаемая сумма поступлений НДФЛ в бюджет города в 2020 году по прогнозу Счетной палаты ожидается выше на сумму порядка 30,0 млн. рублей.</w:t>
      </w:r>
    </w:p>
    <w:p w:rsidR="008D3D7F" w:rsidRDefault="008F7122" w:rsidP="00382CCB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связи с этим, рекомендуем уточнить налоговые поступления по НДФЛ в течение года по итогам декларирования.</w:t>
      </w:r>
    </w:p>
    <w:p w:rsidR="008F7122" w:rsidRDefault="009C5696" w:rsidP="00382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 w:rsidRPr="009C5696">
        <w:rPr>
          <w:b/>
          <w:i/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 2020 год планируются в сумме 1099,4 млн. руб., что на 46,0 млн. руб. больше ожидаемой оценки </w:t>
      </w:r>
      <w:r w:rsidR="00B96DF5">
        <w:rPr>
          <w:sz w:val="28"/>
          <w:szCs w:val="28"/>
        </w:rPr>
        <w:lastRenderedPageBreak/>
        <w:t>поступлений</w:t>
      </w:r>
      <w:r w:rsidR="005C6009">
        <w:rPr>
          <w:sz w:val="28"/>
          <w:szCs w:val="28"/>
        </w:rPr>
        <w:t xml:space="preserve"> в текущем году. Увеличение</w:t>
      </w:r>
      <w:r w:rsidR="00B96DF5">
        <w:rPr>
          <w:sz w:val="28"/>
          <w:szCs w:val="28"/>
        </w:rPr>
        <w:t xml:space="preserve"> запланировано за счет поступления средств из недоимки.</w:t>
      </w:r>
    </w:p>
    <w:p w:rsidR="00657113" w:rsidRDefault="00657113" w:rsidP="00657113">
      <w:pPr>
        <w:ind w:firstLine="708"/>
        <w:jc w:val="both"/>
        <w:rPr>
          <w:sz w:val="28"/>
          <w:szCs w:val="28"/>
        </w:rPr>
      </w:pPr>
      <w:r w:rsidRPr="00CD2DF8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диный налог</w:t>
      </w:r>
      <w:r w:rsidRPr="00AD6C05">
        <w:rPr>
          <w:b/>
          <w:i/>
          <w:sz w:val="28"/>
          <w:szCs w:val="28"/>
        </w:rPr>
        <w:t xml:space="preserve"> на вмененный доход для отдельных видов деятельности  (ЕНВД) </w:t>
      </w:r>
      <w:r>
        <w:rPr>
          <w:sz w:val="28"/>
          <w:szCs w:val="28"/>
        </w:rPr>
        <w:t>в полном размере зачисляется в бюджет города. Срок действия специального налогового режима в виде ЕНВД в соответствии с  федеральным законодательством прекращается с 2021 года, в связи с этим поступления по данному налоговому источнику уже постепенно снижаются.</w:t>
      </w:r>
    </w:p>
    <w:p w:rsidR="00657113" w:rsidRPr="00953ABC" w:rsidRDefault="00657113" w:rsidP="00657113">
      <w:pPr>
        <w:ind w:firstLine="708"/>
        <w:jc w:val="both"/>
        <w:rPr>
          <w:sz w:val="28"/>
          <w:szCs w:val="28"/>
        </w:rPr>
      </w:pPr>
    </w:p>
    <w:p w:rsidR="00657113" w:rsidRDefault="008C6BAA" w:rsidP="008C6BA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657113" w:rsidRPr="00953ABC">
        <w:rPr>
          <w:sz w:val="24"/>
          <w:szCs w:val="24"/>
        </w:rPr>
        <w:t>млн. руб.</w:t>
      </w:r>
    </w:p>
    <w:p w:rsidR="00657113" w:rsidRDefault="00657113" w:rsidP="00657113">
      <w:pPr>
        <w:ind w:firstLine="708"/>
        <w:jc w:val="both"/>
        <w:rPr>
          <w:color w:val="FF0000"/>
          <w:sz w:val="28"/>
          <w:szCs w:val="28"/>
        </w:rPr>
      </w:pPr>
      <w:r w:rsidRPr="00E562B5">
        <w:rPr>
          <w:noProof/>
          <w:color w:val="FF0000"/>
          <w:sz w:val="28"/>
          <w:szCs w:val="28"/>
        </w:rPr>
        <w:drawing>
          <wp:inline distT="0" distB="0" distL="0" distR="0" wp14:anchorId="0CA4041F" wp14:editId="0B3EE192">
            <wp:extent cx="4972050" cy="2743200"/>
            <wp:effectExtent l="0" t="0" r="19050" b="19050"/>
            <wp:docPr id="7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7113" w:rsidRDefault="00657113" w:rsidP="00657113">
      <w:pPr>
        <w:ind w:firstLine="708"/>
        <w:jc w:val="both"/>
        <w:rPr>
          <w:color w:val="FF0000"/>
          <w:sz w:val="28"/>
          <w:szCs w:val="28"/>
          <w:lang w:val="en-US"/>
        </w:rPr>
      </w:pPr>
    </w:p>
    <w:p w:rsidR="00657113" w:rsidRDefault="00657113" w:rsidP="00657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ожидается невыполнение плановых назначений на 7,5 млн. руб. (план 247,8  млн. руб., ожидаемое исполнение 240,3 млн. руб.). На 2020</w:t>
      </w:r>
      <w:r w:rsidR="00D01147">
        <w:rPr>
          <w:sz w:val="28"/>
          <w:szCs w:val="28"/>
        </w:rPr>
        <w:t xml:space="preserve"> </w:t>
      </w:r>
      <w:r>
        <w:rPr>
          <w:sz w:val="28"/>
          <w:szCs w:val="28"/>
        </w:rPr>
        <w:t>год поступление ЕНВД запланировано в сумме 208,3 млн. руб., сумма выпадающих доходов составит 32,0 млн. рублей.</w:t>
      </w:r>
    </w:p>
    <w:p w:rsidR="00657113" w:rsidRDefault="00657113" w:rsidP="00657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Выпадающие доходы от снижения поступлений ЕНВД частично компенсируются применением </w:t>
      </w:r>
      <w:r w:rsidRPr="00267D20">
        <w:rPr>
          <w:b/>
          <w:i/>
          <w:sz w:val="28"/>
          <w:szCs w:val="28"/>
        </w:rPr>
        <w:t>патентной системы налогообложения</w:t>
      </w:r>
      <w:r>
        <w:rPr>
          <w:sz w:val="28"/>
          <w:szCs w:val="28"/>
        </w:rPr>
        <w:t xml:space="preserve">. </w:t>
      </w:r>
    </w:p>
    <w:p w:rsidR="00657113" w:rsidRDefault="00657113" w:rsidP="00AF3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 индивидуальных предпринимателей</w:t>
      </w:r>
      <w:r w:rsidR="00AF3EC1">
        <w:rPr>
          <w:sz w:val="28"/>
          <w:szCs w:val="28"/>
        </w:rPr>
        <w:t xml:space="preserve"> применяющих патентную систему налогообложения с 2014 года увеличилось с 196 до 749 человек, к</w:t>
      </w:r>
      <w:r>
        <w:rPr>
          <w:sz w:val="28"/>
          <w:szCs w:val="28"/>
        </w:rPr>
        <w:t xml:space="preserve">оличество выданных патентов возросло более чем в </w:t>
      </w:r>
      <w:r w:rsidR="00AF3EC1">
        <w:rPr>
          <w:sz w:val="28"/>
          <w:szCs w:val="28"/>
        </w:rPr>
        <w:t>4 раза</w:t>
      </w:r>
      <w:r>
        <w:rPr>
          <w:sz w:val="28"/>
          <w:szCs w:val="28"/>
        </w:rPr>
        <w:t>. На 20</w:t>
      </w:r>
      <w:r w:rsidR="00AF3EC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запланированы поступления в сумме </w:t>
      </w:r>
      <w:r w:rsidR="00AF3EC1">
        <w:rPr>
          <w:sz w:val="28"/>
          <w:szCs w:val="28"/>
        </w:rPr>
        <w:t>48,1</w:t>
      </w:r>
      <w:r>
        <w:rPr>
          <w:sz w:val="28"/>
          <w:szCs w:val="28"/>
        </w:rPr>
        <w:t xml:space="preserve"> млн. руб., с последующим ежегодным ростом на </w:t>
      </w:r>
      <w:r w:rsidR="00AF3EC1">
        <w:rPr>
          <w:sz w:val="28"/>
          <w:szCs w:val="28"/>
        </w:rPr>
        <w:t>6 млн. рублей</w:t>
      </w:r>
      <w:r>
        <w:rPr>
          <w:sz w:val="28"/>
          <w:szCs w:val="28"/>
        </w:rPr>
        <w:t>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доля поступлений по данному доходному источнику в объеме доходов бюджета остается весьма незначительной, менее одного процента.</w:t>
      </w:r>
    </w:p>
    <w:p w:rsidR="00657113" w:rsidRDefault="00883E69" w:rsidP="00657113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657113" w:rsidRPr="00760D46">
        <w:rPr>
          <w:i/>
          <w:sz w:val="28"/>
          <w:szCs w:val="28"/>
        </w:rPr>
        <w:t xml:space="preserve">езервом роста поступлений патентных платежей должно стать вовлечение в систему налогообложения </w:t>
      </w:r>
      <w:proofErr w:type="spellStart"/>
      <w:r w:rsidR="00657113" w:rsidRPr="00760D46">
        <w:rPr>
          <w:i/>
          <w:sz w:val="28"/>
          <w:szCs w:val="28"/>
        </w:rPr>
        <w:t>самозанятых</w:t>
      </w:r>
      <w:proofErr w:type="spellEnd"/>
      <w:r w:rsidR="00657113" w:rsidRPr="00760D46">
        <w:rPr>
          <w:i/>
          <w:sz w:val="28"/>
          <w:szCs w:val="28"/>
        </w:rPr>
        <w:t xml:space="preserve"> слоев населения, выявление и ужесточение санкций за занятие незаконной предпринимательской деятельностью</w:t>
      </w:r>
      <w:r w:rsidR="00657113">
        <w:rPr>
          <w:sz w:val="28"/>
          <w:szCs w:val="28"/>
        </w:rPr>
        <w:t>.</w:t>
      </w:r>
    </w:p>
    <w:p w:rsidR="00657113" w:rsidRPr="00A77F15" w:rsidRDefault="00657113" w:rsidP="00657113">
      <w:pPr>
        <w:ind w:firstLine="708"/>
        <w:jc w:val="both"/>
        <w:rPr>
          <w:sz w:val="28"/>
          <w:szCs w:val="28"/>
        </w:rPr>
      </w:pPr>
      <w:r w:rsidRPr="001E0BC9">
        <w:rPr>
          <w:color w:val="000000" w:themeColor="text1"/>
          <w:sz w:val="28"/>
          <w:szCs w:val="28"/>
        </w:rPr>
        <w:t xml:space="preserve">Поступления </w:t>
      </w:r>
      <w:r w:rsidRPr="001E0BC9">
        <w:rPr>
          <w:b/>
          <w:i/>
          <w:color w:val="000000" w:themeColor="text1"/>
          <w:sz w:val="28"/>
          <w:szCs w:val="28"/>
        </w:rPr>
        <w:t>налога на имущество физических лиц</w:t>
      </w:r>
      <w:r w:rsidRPr="001E0BC9">
        <w:rPr>
          <w:color w:val="000000" w:themeColor="text1"/>
          <w:sz w:val="28"/>
          <w:szCs w:val="28"/>
        </w:rPr>
        <w:t xml:space="preserve"> </w:t>
      </w:r>
      <w:r w:rsidR="00AF3EC1">
        <w:rPr>
          <w:color w:val="000000" w:themeColor="text1"/>
          <w:sz w:val="28"/>
          <w:szCs w:val="28"/>
        </w:rPr>
        <w:t xml:space="preserve">в 2020 году </w:t>
      </w:r>
      <w:r w:rsidRPr="001E0BC9">
        <w:rPr>
          <w:color w:val="000000" w:themeColor="text1"/>
          <w:sz w:val="28"/>
          <w:szCs w:val="28"/>
        </w:rPr>
        <w:t>планируют</w:t>
      </w:r>
      <w:r>
        <w:rPr>
          <w:color w:val="000000" w:themeColor="text1"/>
          <w:sz w:val="28"/>
          <w:szCs w:val="28"/>
        </w:rPr>
        <w:t xml:space="preserve">ся в сумме </w:t>
      </w:r>
      <w:r w:rsidR="00AF3EC1">
        <w:rPr>
          <w:color w:val="000000" w:themeColor="text1"/>
          <w:sz w:val="28"/>
          <w:szCs w:val="28"/>
        </w:rPr>
        <w:t>175,2</w:t>
      </w:r>
      <w:r>
        <w:rPr>
          <w:color w:val="000000" w:themeColor="text1"/>
          <w:sz w:val="28"/>
          <w:szCs w:val="28"/>
        </w:rPr>
        <w:t xml:space="preserve"> млн. руб., </w:t>
      </w:r>
      <w:r w:rsidR="00AF3EC1">
        <w:rPr>
          <w:color w:val="000000" w:themeColor="text1"/>
          <w:sz w:val="28"/>
          <w:szCs w:val="28"/>
        </w:rPr>
        <w:t xml:space="preserve">с незначительным (1,5%) ростом к </w:t>
      </w:r>
      <w:r w:rsidRPr="001E0BC9">
        <w:rPr>
          <w:color w:val="000000" w:themeColor="text1"/>
          <w:sz w:val="28"/>
          <w:szCs w:val="28"/>
        </w:rPr>
        <w:t xml:space="preserve"> ожидаемы</w:t>
      </w:r>
      <w:r w:rsidR="00AF3EC1">
        <w:rPr>
          <w:color w:val="000000" w:themeColor="text1"/>
          <w:sz w:val="28"/>
          <w:szCs w:val="28"/>
        </w:rPr>
        <w:t>м</w:t>
      </w:r>
      <w:r w:rsidRPr="001E0BC9">
        <w:rPr>
          <w:color w:val="000000" w:themeColor="text1"/>
          <w:sz w:val="28"/>
          <w:szCs w:val="28"/>
        </w:rPr>
        <w:t xml:space="preserve"> </w:t>
      </w:r>
      <w:r w:rsidR="005007A7" w:rsidRPr="001E0BC9">
        <w:rPr>
          <w:color w:val="000000" w:themeColor="text1"/>
          <w:sz w:val="28"/>
          <w:szCs w:val="28"/>
        </w:rPr>
        <w:t>поступлен</w:t>
      </w:r>
      <w:r w:rsidR="005007A7">
        <w:rPr>
          <w:color w:val="000000" w:themeColor="text1"/>
          <w:sz w:val="28"/>
          <w:szCs w:val="28"/>
        </w:rPr>
        <w:t>иям</w:t>
      </w:r>
      <w:r w:rsidRPr="001E0BC9">
        <w:rPr>
          <w:color w:val="000000" w:themeColor="text1"/>
          <w:sz w:val="28"/>
          <w:szCs w:val="28"/>
        </w:rPr>
        <w:t xml:space="preserve"> текущего года.</w:t>
      </w:r>
    </w:p>
    <w:p w:rsidR="00657113" w:rsidRDefault="00657113" w:rsidP="00657113">
      <w:pPr>
        <w:ind w:firstLine="708"/>
        <w:jc w:val="both"/>
        <w:rPr>
          <w:sz w:val="28"/>
          <w:szCs w:val="28"/>
        </w:rPr>
      </w:pPr>
      <w:r w:rsidRPr="003C5042">
        <w:rPr>
          <w:sz w:val="28"/>
          <w:szCs w:val="28"/>
        </w:rPr>
        <w:lastRenderedPageBreak/>
        <w:t xml:space="preserve">При расчете поступлений </w:t>
      </w:r>
      <w:r>
        <w:rPr>
          <w:sz w:val="28"/>
          <w:szCs w:val="28"/>
        </w:rPr>
        <w:t xml:space="preserve">налога учтено </w:t>
      </w:r>
      <w:r w:rsidR="00113680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налоговой базы по налогу на имущество физических лиц с 1 января 201</w:t>
      </w:r>
      <w:r w:rsidR="00AF3EC1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исходя из кадастровой стоимости объектов налогообложения.</w:t>
      </w:r>
    </w:p>
    <w:p w:rsidR="00E062D1" w:rsidRDefault="00657113" w:rsidP="00657113">
      <w:pPr>
        <w:ind w:firstLine="708"/>
        <w:jc w:val="both"/>
        <w:rPr>
          <w:i/>
          <w:sz w:val="28"/>
          <w:szCs w:val="28"/>
        </w:rPr>
      </w:pPr>
      <w:r w:rsidRPr="00DE1A72">
        <w:rPr>
          <w:i/>
          <w:sz w:val="28"/>
          <w:szCs w:val="28"/>
        </w:rPr>
        <w:t>Следует отметить, что</w:t>
      </w:r>
      <w:r w:rsidR="00074520">
        <w:rPr>
          <w:i/>
          <w:sz w:val="28"/>
          <w:szCs w:val="28"/>
        </w:rPr>
        <w:t xml:space="preserve"> в связи с изменениями</w:t>
      </w:r>
      <w:r w:rsidRPr="00DE1A72">
        <w:rPr>
          <w:i/>
          <w:sz w:val="28"/>
          <w:szCs w:val="28"/>
        </w:rPr>
        <w:t xml:space="preserve"> формировани</w:t>
      </w:r>
      <w:r w:rsidR="00074520">
        <w:rPr>
          <w:i/>
          <w:sz w:val="28"/>
          <w:szCs w:val="28"/>
        </w:rPr>
        <w:t>я</w:t>
      </w:r>
      <w:r w:rsidRPr="00DE1A72">
        <w:rPr>
          <w:i/>
          <w:sz w:val="28"/>
          <w:szCs w:val="28"/>
        </w:rPr>
        <w:t xml:space="preserve"> налоговой базы</w:t>
      </w:r>
      <w:r w:rsidR="00074520">
        <w:rPr>
          <w:i/>
          <w:sz w:val="28"/>
          <w:szCs w:val="28"/>
        </w:rPr>
        <w:t xml:space="preserve"> произошло существенное </w:t>
      </w:r>
      <w:r w:rsidR="00C31328">
        <w:rPr>
          <w:i/>
          <w:sz w:val="28"/>
          <w:szCs w:val="28"/>
        </w:rPr>
        <w:t>сокращение начисленных сумм налога</w:t>
      </w:r>
      <w:r w:rsidR="00737F35">
        <w:rPr>
          <w:i/>
          <w:sz w:val="28"/>
          <w:szCs w:val="28"/>
        </w:rPr>
        <w:t xml:space="preserve">, в результате чего поступления текущего года ожидаются на 50,0 млн. руб., </w:t>
      </w:r>
      <w:r w:rsidR="00113680">
        <w:rPr>
          <w:i/>
          <w:sz w:val="28"/>
          <w:szCs w:val="28"/>
        </w:rPr>
        <w:t xml:space="preserve">или </w:t>
      </w:r>
      <w:r w:rsidR="00737F35">
        <w:rPr>
          <w:i/>
          <w:sz w:val="28"/>
          <w:szCs w:val="28"/>
        </w:rPr>
        <w:t>на 23% ниже предыдущего.</w:t>
      </w:r>
    </w:p>
    <w:p w:rsidR="00737F35" w:rsidRPr="009C5696" w:rsidRDefault="00737F35" w:rsidP="00657113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Источниками увеличения поступлений могут являться увеличение количество сдаваемых </w:t>
      </w:r>
      <w:r w:rsidR="00103870">
        <w:rPr>
          <w:i/>
          <w:sz w:val="28"/>
          <w:szCs w:val="28"/>
        </w:rPr>
        <w:t>в эксплуатацию жилых домов и других объектов недвижимости, а также сокращение неуплаченной суммы налога, раз</w:t>
      </w:r>
      <w:r w:rsidR="002A5E9D">
        <w:rPr>
          <w:i/>
          <w:sz w:val="28"/>
          <w:szCs w:val="28"/>
        </w:rPr>
        <w:t>мер которой на 01.07.2019 года составлял 52,8 млн. рублей.</w:t>
      </w:r>
    </w:p>
    <w:p w:rsidR="005007A7" w:rsidRDefault="00BD0931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 w:rsidRPr="00D02B03">
        <w:rPr>
          <w:b/>
          <w:i/>
          <w:sz w:val="28"/>
          <w:szCs w:val="28"/>
        </w:rPr>
        <w:t>госпошлины</w:t>
      </w:r>
      <w:r>
        <w:rPr>
          <w:sz w:val="28"/>
          <w:szCs w:val="28"/>
        </w:rPr>
        <w:t xml:space="preserve"> в 2020 году планируются в сумме 96,5 млн. руб., что на 4,0 млн. больше предыдущего года. Прогноз поступлений предоставлен главными администраторами доходов – УФНС России по Липецкой области, департаментом дорожного хозяйства и благоустройства и департаментом градостроительства</w:t>
      </w:r>
      <w:r w:rsidR="005007A7">
        <w:rPr>
          <w:sz w:val="28"/>
          <w:szCs w:val="28"/>
        </w:rPr>
        <w:t xml:space="preserve"> и архитектуры администрации города Липецка.</w:t>
      </w:r>
    </w:p>
    <w:p w:rsidR="005007A7" w:rsidRDefault="005007A7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поступлений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5007A7" w:rsidTr="005007A7">
        <w:tc>
          <w:tcPr>
            <w:tcW w:w="4644" w:type="dxa"/>
          </w:tcPr>
          <w:p w:rsidR="005007A7" w:rsidRDefault="005007A7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госпошлины  по судам общей юрисдикции</w:t>
            </w:r>
          </w:p>
        </w:tc>
        <w:tc>
          <w:tcPr>
            <w:tcW w:w="4926" w:type="dxa"/>
          </w:tcPr>
          <w:p w:rsidR="005007A7" w:rsidRDefault="005007A7" w:rsidP="000D6FC4">
            <w:pPr>
              <w:jc w:val="both"/>
              <w:rPr>
                <w:sz w:val="28"/>
                <w:szCs w:val="28"/>
              </w:rPr>
            </w:pPr>
          </w:p>
          <w:p w:rsidR="005007A7" w:rsidRDefault="005007A7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90,9 млн. руб.</w:t>
            </w:r>
          </w:p>
        </w:tc>
      </w:tr>
      <w:tr w:rsidR="005007A7" w:rsidTr="005007A7">
        <w:tc>
          <w:tcPr>
            <w:tcW w:w="4644" w:type="dxa"/>
          </w:tcPr>
          <w:p w:rsidR="005007A7" w:rsidRDefault="005007A7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госпошлины за перевозку крупногабаритных грузов</w:t>
            </w:r>
          </w:p>
        </w:tc>
        <w:tc>
          <w:tcPr>
            <w:tcW w:w="4926" w:type="dxa"/>
          </w:tcPr>
          <w:p w:rsidR="005007A7" w:rsidRDefault="005007A7" w:rsidP="000D6FC4">
            <w:pPr>
              <w:jc w:val="both"/>
              <w:rPr>
                <w:sz w:val="28"/>
                <w:szCs w:val="28"/>
              </w:rPr>
            </w:pPr>
          </w:p>
          <w:p w:rsidR="005007A7" w:rsidRDefault="005007A7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4,0 млн. руб.</w:t>
            </w:r>
          </w:p>
        </w:tc>
      </w:tr>
      <w:tr w:rsidR="005007A7" w:rsidTr="005007A7">
        <w:tc>
          <w:tcPr>
            <w:tcW w:w="4644" w:type="dxa"/>
          </w:tcPr>
          <w:p w:rsidR="005007A7" w:rsidRDefault="005007A7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госпошлины за установку рекламных конструкций</w:t>
            </w:r>
          </w:p>
        </w:tc>
        <w:tc>
          <w:tcPr>
            <w:tcW w:w="4926" w:type="dxa"/>
          </w:tcPr>
          <w:p w:rsidR="00402B55" w:rsidRDefault="00402B55" w:rsidP="000D6FC4">
            <w:pPr>
              <w:jc w:val="both"/>
              <w:rPr>
                <w:sz w:val="28"/>
                <w:szCs w:val="28"/>
              </w:rPr>
            </w:pPr>
          </w:p>
          <w:p w:rsidR="005007A7" w:rsidRDefault="00402B55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1,6 млн. рублей</w:t>
            </w:r>
          </w:p>
          <w:p w:rsidR="00402B55" w:rsidRDefault="00402B55" w:rsidP="000D6FC4">
            <w:pPr>
              <w:jc w:val="both"/>
              <w:rPr>
                <w:sz w:val="28"/>
                <w:szCs w:val="28"/>
              </w:rPr>
            </w:pPr>
          </w:p>
        </w:tc>
      </w:tr>
    </w:tbl>
    <w:p w:rsidR="00D07853" w:rsidRDefault="00BD0931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7A7" w:rsidRPr="005007A7">
        <w:rPr>
          <w:sz w:val="28"/>
          <w:szCs w:val="28"/>
        </w:rPr>
        <w:t xml:space="preserve">Прогноз </w:t>
      </w:r>
      <w:r w:rsidR="005007A7" w:rsidRPr="005007A7">
        <w:rPr>
          <w:b/>
          <w:i/>
          <w:sz w:val="28"/>
          <w:szCs w:val="28"/>
        </w:rPr>
        <w:t>платы за негативное воздействие на окружающую среду</w:t>
      </w:r>
      <w:r w:rsidR="005007A7">
        <w:rPr>
          <w:sz w:val="28"/>
          <w:szCs w:val="28"/>
        </w:rPr>
        <w:t xml:space="preserve">  2020 год составляет 45,1 млн. рублей.</w:t>
      </w:r>
    </w:p>
    <w:p w:rsidR="005007A7" w:rsidRDefault="005007A7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платежа запланирована с ростом к прошлому году на 5,0 млн. руб., что связано с увеличением норматива зачисления платы за негативное воздействие на окружающую среду в местные бюджеты с </w:t>
      </w:r>
      <w:r w:rsidR="00F46CE8">
        <w:rPr>
          <w:sz w:val="28"/>
          <w:szCs w:val="28"/>
        </w:rPr>
        <w:t>55 до 60 процентов.</w:t>
      </w:r>
    </w:p>
    <w:p w:rsidR="00F46CE8" w:rsidRDefault="005C5ABD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</w:t>
      </w:r>
      <w:r w:rsidR="00402B55">
        <w:rPr>
          <w:sz w:val="28"/>
          <w:szCs w:val="28"/>
        </w:rPr>
        <w:t>7%</w:t>
      </w:r>
      <w:r>
        <w:rPr>
          <w:sz w:val="28"/>
          <w:szCs w:val="28"/>
        </w:rPr>
        <w:t xml:space="preserve"> поступлений</w:t>
      </w:r>
      <w:r w:rsidR="00F46CE8">
        <w:rPr>
          <w:sz w:val="28"/>
          <w:szCs w:val="28"/>
        </w:rPr>
        <w:t xml:space="preserve"> в бюджет города отводится доходам от </w:t>
      </w:r>
      <w:r w:rsidR="001E0D5F">
        <w:rPr>
          <w:sz w:val="28"/>
          <w:szCs w:val="28"/>
        </w:rPr>
        <w:t xml:space="preserve">использования муниципальной собственности, основная сумма которых поступает в виде </w:t>
      </w:r>
      <w:r w:rsidR="001E0D5F" w:rsidRPr="001E0D5F">
        <w:rPr>
          <w:b/>
          <w:i/>
          <w:sz w:val="28"/>
          <w:szCs w:val="28"/>
        </w:rPr>
        <w:t>арендной платы за землю</w:t>
      </w:r>
      <w:r w:rsidR="001E0D5F">
        <w:rPr>
          <w:sz w:val="28"/>
          <w:szCs w:val="28"/>
        </w:rPr>
        <w:t>.</w:t>
      </w:r>
    </w:p>
    <w:p w:rsidR="001E0D5F" w:rsidRDefault="001E0D5F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бюджет города планируется получить 270,0 млн. руб. арендных платежей, в том числе 20,0 млн. руб. за земли муниципальной собственности и 250,0 млн. руб. за земли собственность на которые не разграничена. Сумма планируемых к поступлению доходов на 10,0 млн. руб. ниже ожидаемых поступлений 2019 года, причина снижения поступлений администраторами доходов  </w:t>
      </w:r>
      <w:r w:rsidR="005C5ABD">
        <w:rPr>
          <w:sz w:val="28"/>
          <w:szCs w:val="28"/>
        </w:rPr>
        <w:t>(</w:t>
      </w:r>
      <w:r>
        <w:rPr>
          <w:sz w:val="28"/>
          <w:szCs w:val="28"/>
        </w:rPr>
        <w:t>УИЗО Липецкой области и УИЗО г. Липецка</w:t>
      </w:r>
      <w:r w:rsidR="004F1B83">
        <w:rPr>
          <w:sz w:val="28"/>
          <w:szCs w:val="28"/>
        </w:rPr>
        <w:t>)</w:t>
      </w:r>
      <w:r>
        <w:rPr>
          <w:sz w:val="28"/>
          <w:szCs w:val="28"/>
        </w:rPr>
        <w:t xml:space="preserve"> не указана.</w:t>
      </w:r>
    </w:p>
    <w:p w:rsidR="001E0D5F" w:rsidRPr="006C5CAA" w:rsidRDefault="007744EA" w:rsidP="000D6FC4">
      <w:pPr>
        <w:ind w:firstLine="708"/>
        <w:jc w:val="both"/>
        <w:rPr>
          <w:i/>
          <w:sz w:val="28"/>
          <w:szCs w:val="28"/>
        </w:rPr>
      </w:pPr>
      <w:r w:rsidRPr="006C5CAA">
        <w:rPr>
          <w:i/>
          <w:sz w:val="28"/>
          <w:szCs w:val="28"/>
        </w:rPr>
        <w:t>Счетн</w:t>
      </w:r>
      <w:r w:rsidR="004F1B83">
        <w:rPr>
          <w:i/>
          <w:sz w:val="28"/>
          <w:szCs w:val="28"/>
        </w:rPr>
        <w:t>ой</w:t>
      </w:r>
      <w:r w:rsidRPr="006C5CAA">
        <w:rPr>
          <w:i/>
          <w:sz w:val="28"/>
          <w:szCs w:val="28"/>
        </w:rPr>
        <w:t xml:space="preserve"> палатой города неоднократно </w:t>
      </w:r>
      <w:r w:rsidR="00402B55">
        <w:rPr>
          <w:i/>
          <w:sz w:val="28"/>
          <w:szCs w:val="28"/>
        </w:rPr>
        <w:t>у</w:t>
      </w:r>
      <w:r w:rsidRPr="006C5CAA">
        <w:rPr>
          <w:i/>
          <w:sz w:val="28"/>
          <w:szCs w:val="28"/>
        </w:rPr>
        <w:t>казывалось на наличие резерв</w:t>
      </w:r>
      <w:r w:rsidR="004F1B83">
        <w:rPr>
          <w:i/>
          <w:sz w:val="28"/>
          <w:szCs w:val="28"/>
        </w:rPr>
        <w:t>ов</w:t>
      </w:r>
      <w:r w:rsidRPr="006C5CAA">
        <w:rPr>
          <w:i/>
          <w:sz w:val="28"/>
          <w:szCs w:val="28"/>
        </w:rPr>
        <w:t xml:space="preserve"> поступлений платежей </w:t>
      </w:r>
      <w:r w:rsidR="009710AE" w:rsidRPr="006C5CAA">
        <w:rPr>
          <w:i/>
          <w:sz w:val="28"/>
          <w:szCs w:val="28"/>
        </w:rPr>
        <w:t xml:space="preserve">по данному доходному источнику, таких как неоплаченная задолженность по арендным платежам, использование земельных участков без правоустанавливающих документов, </w:t>
      </w:r>
      <w:r w:rsidR="006C5CAA" w:rsidRPr="006C5CAA">
        <w:rPr>
          <w:i/>
          <w:sz w:val="28"/>
          <w:szCs w:val="28"/>
        </w:rPr>
        <w:t>проведение</w:t>
      </w:r>
      <w:r w:rsidR="009710AE" w:rsidRPr="006C5CAA">
        <w:rPr>
          <w:i/>
          <w:sz w:val="28"/>
          <w:szCs w:val="28"/>
        </w:rPr>
        <w:t xml:space="preserve"> работы </w:t>
      </w:r>
      <w:r w:rsidR="006C5CAA" w:rsidRPr="006C5CAA">
        <w:rPr>
          <w:i/>
          <w:sz w:val="28"/>
          <w:szCs w:val="28"/>
        </w:rPr>
        <w:t>по пересмотру ставок арендной платы.</w:t>
      </w:r>
    </w:p>
    <w:p w:rsidR="006C5CAA" w:rsidRPr="006C5CAA" w:rsidRDefault="006C5CAA" w:rsidP="006C5CAA">
      <w:pPr>
        <w:ind w:firstLine="708"/>
        <w:jc w:val="both"/>
        <w:rPr>
          <w:sz w:val="28"/>
          <w:szCs w:val="28"/>
        </w:rPr>
      </w:pPr>
      <w:r w:rsidRPr="006C5CAA">
        <w:rPr>
          <w:b/>
          <w:i/>
          <w:sz w:val="28"/>
          <w:szCs w:val="28"/>
        </w:rPr>
        <w:lastRenderedPageBreak/>
        <w:t>Доходы от сдачи в аренду муниципального имущества</w:t>
      </w:r>
      <w:r w:rsidRPr="006C5CAA">
        <w:rPr>
          <w:sz w:val="28"/>
          <w:szCs w:val="28"/>
        </w:rPr>
        <w:t xml:space="preserve"> запланированы на 20</w:t>
      </w:r>
      <w:r>
        <w:rPr>
          <w:sz w:val="28"/>
          <w:szCs w:val="28"/>
        </w:rPr>
        <w:t>20</w:t>
      </w:r>
      <w:r w:rsidRPr="006C5CA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6C5CAA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6C5CAA">
        <w:rPr>
          <w:sz w:val="28"/>
          <w:szCs w:val="28"/>
        </w:rPr>
        <w:t xml:space="preserve"> годов в сумме </w:t>
      </w:r>
      <w:r>
        <w:rPr>
          <w:sz w:val="28"/>
          <w:szCs w:val="28"/>
        </w:rPr>
        <w:t>52,4</w:t>
      </w:r>
      <w:r w:rsidRPr="006C5CAA">
        <w:rPr>
          <w:sz w:val="28"/>
          <w:szCs w:val="28"/>
        </w:rPr>
        <w:t xml:space="preserve"> млн. руб. в год.</w:t>
      </w:r>
    </w:p>
    <w:p w:rsidR="006C5CAA" w:rsidRPr="006C5CAA" w:rsidRDefault="006C5CAA" w:rsidP="006C5CAA">
      <w:pPr>
        <w:ind w:firstLine="708"/>
        <w:jc w:val="both"/>
        <w:rPr>
          <w:sz w:val="28"/>
          <w:szCs w:val="28"/>
        </w:rPr>
      </w:pPr>
      <w:r w:rsidRPr="006C5CAA">
        <w:rPr>
          <w:sz w:val="28"/>
          <w:szCs w:val="28"/>
        </w:rPr>
        <w:t>Из них основную долю</w:t>
      </w:r>
      <w:r w:rsidR="00610A9C">
        <w:rPr>
          <w:sz w:val="28"/>
          <w:szCs w:val="28"/>
        </w:rPr>
        <w:t xml:space="preserve"> -</w:t>
      </w:r>
      <w:r w:rsidR="005C5ABD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6C5CAA">
        <w:rPr>
          <w:sz w:val="28"/>
          <w:szCs w:val="28"/>
        </w:rPr>
        <w:t xml:space="preserve"> млн. руб</w:t>
      </w:r>
      <w:r w:rsidR="005C5ABD">
        <w:rPr>
          <w:sz w:val="28"/>
          <w:szCs w:val="28"/>
        </w:rPr>
        <w:t>.</w:t>
      </w:r>
      <w:r w:rsidR="00113680">
        <w:rPr>
          <w:sz w:val="28"/>
          <w:szCs w:val="28"/>
        </w:rPr>
        <w:t xml:space="preserve"> составят</w:t>
      </w:r>
      <w:r>
        <w:rPr>
          <w:sz w:val="28"/>
          <w:szCs w:val="28"/>
        </w:rPr>
        <w:t xml:space="preserve"> </w:t>
      </w:r>
      <w:r w:rsidR="005C5ABD">
        <w:rPr>
          <w:sz w:val="28"/>
          <w:szCs w:val="28"/>
        </w:rPr>
        <w:t>поступлени</w:t>
      </w:r>
      <w:r w:rsidR="00113680">
        <w:rPr>
          <w:sz w:val="28"/>
          <w:szCs w:val="28"/>
        </w:rPr>
        <w:t>я</w:t>
      </w:r>
      <w:r w:rsidRPr="006C5CAA">
        <w:rPr>
          <w:sz w:val="28"/>
          <w:szCs w:val="28"/>
        </w:rPr>
        <w:t xml:space="preserve"> от аренд</w:t>
      </w:r>
      <w:r w:rsidR="005C5ABD">
        <w:rPr>
          <w:sz w:val="28"/>
          <w:szCs w:val="28"/>
        </w:rPr>
        <w:t>ы</w:t>
      </w:r>
      <w:r w:rsidRPr="006C5CAA">
        <w:rPr>
          <w:sz w:val="28"/>
          <w:szCs w:val="28"/>
        </w:rPr>
        <w:t xml:space="preserve"> имущества, составляющего муниципальную казну</w:t>
      </w:r>
      <w:r w:rsidR="005C5ABD">
        <w:rPr>
          <w:sz w:val="28"/>
          <w:szCs w:val="28"/>
        </w:rPr>
        <w:t>,</w:t>
      </w:r>
      <w:r w:rsidRPr="006C5CAA">
        <w:rPr>
          <w:sz w:val="28"/>
          <w:szCs w:val="28"/>
        </w:rPr>
        <w:t xml:space="preserve"> </w:t>
      </w:r>
      <w:r w:rsidR="005C5ABD">
        <w:rPr>
          <w:sz w:val="28"/>
          <w:szCs w:val="28"/>
        </w:rPr>
        <w:t>от</w:t>
      </w:r>
      <w:r w:rsidRPr="006C5CAA">
        <w:rPr>
          <w:sz w:val="28"/>
          <w:szCs w:val="28"/>
        </w:rPr>
        <w:t xml:space="preserve"> аренд</w:t>
      </w:r>
      <w:r w:rsidR="005C5ABD">
        <w:rPr>
          <w:sz w:val="28"/>
          <w:szCs w:val="28"/>
        </w:rPr>
        <w:t>ы</w:t>
      </w:r>
      <w:r w:rsidRPr="006C5CAA">
        <w:rPr>
          <w:sz w:val="28"/>
          <w:szCs w:val="28"/>
        </w:rPr>
        <w:t xml:space="preserve"> имущества, находящегося в оперативном управлении органов </w:t>
      </w:r>
      <w:r w:rsidR="00113680">
        <w:rPr>
          <w:sz w:val="28"/>
          <w:szCs w:val="28"/>
        </w:rPr>
        <w:t>местного самоуправления</w:t>
      </w:r>
      <w:r w:rsidRPr="006C5CAA">
        <w:rPr>
          <w:sz w:val="28"/>
          <w:szCs w:val="28"/>
        </w:rPr>
        <w:t xml:space="preserve"> и му</w:t>
      </w:r>
      <w:r w:rsidR="0018684A">
        <w:rPr>
          <w:sz w:val="28"/>
          <w:szCs w:val="28"/>
        </w:rPr>
        <w:t>ниципальных казенных учреждений</w:t>
      </w:r>
      <w:r w:rsidRPr="006C5CAA">
        <w:rPr>
          <w:sz w:val="28"/>
          <w:szCs w:val="28"/>
        </w:rPr>
        <w:t xml:space="preserve"> </w:t>
      </w:r>
      <w:r w:rsidR="005C5ABD">
        <w:rPr>
          <w:sz w:val="28"/>
          <w:szCs w:val="28"/>
        </w:rPr>
        <w:t>планируется получить</w:t>
      </w:r>
      <w:r w:rsidRPr="006C5CAA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2,4</w:t>
      </w:r>
      <w:r w:rsidRPr="006C5CAA">
        <w:rPr>
          <w:sz w:val="28"/>
          <w:szCs w:val="28"/>
        </w:rPr>
        <w:t xml:space="preserve"> млн. руб. в год.</w:t>
      </w:r>
    </w:p>
    <w:p w:rsidR="00FC2F64" w:rsidRDefault="00EA0286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от сдачи в аренду имущества м</w:t>
      </w:r>
      <w:r w:rsidR="00042956">
        <w:rPr>
          <w:sz w:val="28"/>
          <w:szCs w:val="28"/>
        </w:rPr>
        <w:t>униципальной казны относительно ожидаемого исполнения 2019 года снижены на 5 млн. руб. в связи с реализацией права выкупа имущества арендаторами, в рамках федерального законодательства и</w:t>
      </w:r>
      <w:r w:rsidR="006336EC">
        <w:rPr>
          <w:sz w:val="28"/>
          <w:szCs w:val="28"/>
        </w:rPr>
        <w:t xml:space="preserve"> досрочным</w:t>
      </w:r>
      <w:r w:rsidR="00042956">
        <w:rPr>
          <w:sz w:val="28"/>
          <w:szCs w:val="28"/>
        </w:rPr>
        <w:t xml:space="preserve"> расторжением договоров аренды с арендаторами-должниками.</w:t>
      </w:r>
    </w:p>
    <w:p w:rsidR="0070169C" w:rsidRDefault="0070169C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прочих поступлений от использования имущества, находящегося в собственности городских округов, запланировано поступление платы за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муниципального жилья в сумме 12,3 млн. руб</w:t>
      </w:r>
      <w:r w:rsidR="00D07E4B">
        <w:rPr>
          <w:sz w:val="28"/>
          <w:szCs w:val="28"/>
        </w:rPr>
        <w:t xml:space="preserve">. </w:t>
      </w:r>
      <w:r>
        <w:rPr>
          <w:sz w:val="28"/>
          <w:szCs w:val="28"/>
        </w:rPr>
        <w:t>и концессионной платы в су</w:t>
      </w:r>
      <w:r w:rsidR="007B176C">
        <w:rPr>
          <w:sz w:val="28"/>
          <w:szCs w:val="28"/>
        </w:rPr>
        <w:t>м</w:t>
      </w:r>
      <w:r>
        <w:rPr>
          <w:sz w:val="28"/>
          <w:szCs w:val="28"/>
        </w:rPr>
        <w:t>ме 2,0 млн. рублей.</w:t>
      </w:r>
    </w:p>
    <w:p w:rsidR="00995F6F" w:rsidRPr="0015568B" w:rsidRDefault="00042956" w:rsidP="00995F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995F6F" w:rsidRPr="0015568B">
        <w:rPr>
          <w:b/>
          <w:i/>
          <w:color w:val="000000" w:themeColor="text1"/>
          <w:sz w:val="28"/>
          <w:szCs w:val="28"/>
        </w:rPr>
        <w:t>Доходы от реализации имущества, находящегося в муниципальной собственности</w:t>
      </w:r>
      <w:r w:rsidR="00995F6F" w:rsidRPr="0015568B">
        <w:rPr>
          <w:color w:val="000000" w:themeColor="text1"/>
          <w:sz w:val="28"/>
          <w:szCs w:val="28"/>
        </w:rPr>
        <w:t xml:space="preserve"> </w:t>
      </w:r>
      <w:r w:rsidR="00995F6F">
        <w:rPr>
          <w:color w:val="000000" w:themeColor="text1"/>
          <w:sz w:val="28"/>
          <w:szCs w:val="28"/>
        </w:rPr>
        <w:t>запланированы на 2020 год в объеме 115,0 млн. руб., на плановый период 2021 и 2022 годов – 75,0 млн. руб. и 55,0 млн. руб. соответственно.</w:t>
      </w:r>
    </w:p>
    <w:p w:rsidR="00995F6F" w:rsidRDefault="00995F6F" w:rsidP="00995F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поступления запланированы от продажи имущества муниципальной казны (100,0 млн. руб., 60,0 млн. руб. и 40 млн. руб. соответственного по годам).</w:t>
      </w:r>
    </w:p>
    <w:p w:rsidR="00F25089" w:rsidRDefault="00F25089" w:rsidP="00995F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продажи земельных участков, расположенных в границах города планируется получить по 15,0 млн. руб. ежегодно.</w:t>
      </w:r>
    </w:p>
    <w:p w:rsidR="00F25089" w:rsidRDefault="004F1B83" w:rsidP="00995F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3E1DE0">
        <w:rPr>
          <w:color w:val="000000" w:themeColor="text1"/>
          <w:sz w:val="28"/>
          <w:szCs w:val="28"/>
        </w:rPr>
        <w:t xml:space="preserve">твержденным Прогнозным планом (Программой) приватизации муниципального имущества </w:t>
      </w:r>
      <w:r w:rsidR="006336EC">
        <w:rPr>
          <w:color w:val="000000" w:themeColor="text1"/>
          <w:sz w:val="28"/>
          <w:szCs w:val="28"/>
        </w:rPr>
        <w:t>в</w:t>
      </w:r>
      <w:r w:rsidR="003E1DE0">
        <w:rPr>
          <w:color w:val="000000" w:themeColor="text1"/>
          <w:sz w:val="28"/>
          <w:szCs w:val="28"/>
        </w:rPr>
        <w:t xml:space="preserve"> 2020 год</w:t>
      </w:r>
      <w:r w:rsidR="006336EC">
        <w:rPr>
          <w:color w:val="000000" w:themeColor="text1"/>
          <w:sz w:val="28"/>
          <w:szCs w:val="28"/>
        </w:rPr>
        <w:t>у</w:t>
      </w:r>
      <w:r w:rsidR="003E1DE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запланировано</w:t>
      </w:r>
      <w:r w:rsidR="003E1DE0">
        <w:rPr>
          <w:color w:val="000000" w:themeColor="text1"/>
          <w:sz w:val="28"/>
          <w:szCs w:val="28"/>
        </w:rPr>
        <w:t xml:space="preserve"> реализовать 30 объектов недвижимости, </w:t>
      </w:r>
      <w:proofErr w:type="gramStart"/>
      <w:r w:rsidR="003E1DE0">
        <w:rPr>
          <w:color w:val="000000" w:themeColor="text1"/>
          <w:sz w:val="28"/>
          <w:szCs w:val="28"/>
        </w:rPr>
        <w:t>поступления</w:t>
      </w:r>
      <w:proofErr w:type="gramEnd"/>
      <w:r w:rsidR="003E1DE0">
        <w:rPr>
          <w:color w:val="000000" w:themeColor="text1"/>
          <w:sz w:val="28"/>
          <w:szCs w:val="28"/>
        </w:rPr>
        <w:t xml:space="preserve"> от продажи которых должны составить 30 млн. рублей.</w:t>
      </w:r>
    </w:p>
    <w:p w:rsidR="00C613A6" w:rsidRDefault="00C613A6" w:rsidP="00995F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плановый период 2021 и 2022 годов к приватизации предусмотрено по одному объекту.</w:t>
      </w:r>
    </w:p>
    <w:p w:rsidR="00C613A6" w:rsidRDefault="00D35B42" w:rsidP="00995F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Приватизации</w:t>
      </w:r>
      <w:r w:rsidR="004F1B83">
        <w:rPr>
          <w:color w:val="000000" w:themeColor="text1"/>
          <w:sz w:val="28"/>
          <w:szCs w:val="28"/>
        </w:rPr>
        <w:t xml:space="preserve"> подлежат </w:t>
      </w:r>
      <w:r w:rsidR="0018684A">
        <w:rPr>
          <w:color w:val="000000" w:themeColor="text1"/>
          <w:sz w:val="28"/>
          <w:szCs w:val="28"/>
        </w:rPr>
        <w:t>объекты,</w:t>
      </w:r>
      <w:r>
        <w:rPr>
          <w:color w:val="000000" w:themeColor="text1"/>
          <w:sz w:val="28"/>
          <w:szCs w:val="28"/>
        </w:rPr>
        <w:t xml:space="preserve"> не используемые для осуществления полномочий органов местного самоуправления.</w:t>
      </w:r>
    </w:p>
    <w:p w:rsidR="00D35B42" w:rsidRDefault="008D04B2" w:rsidP="00995F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Отдельные объекты включаются в план приватизации на протяжении ряда лет (например, объекты по адресам: пер. Луначарского, д. 1а, ул. Суворова, д. 26, ул. Базарная, вл. 3А, ул. Гайдара, д. 19, ул. Звездная, д.8 корп. 2)</w:t>
      </w:r>
      <w:r w:rsidR="007B3145">
        <w:rPr>
          <w:color w:val="000000" w:themeColor="text1"/>
          <w:sz w:val="28"/>
          <w:szCs w:val="28"/>
        </w:rPr>
        <w:t>, но остаются нереализованными, что может свидетельствовать об их неликвидном состоянии и коммерческой непривлекательности.</w:t>
      </w:r>
      <w:proofErr w:type="gramEnd"/>
    </w:p>
    <w:p w:rsidR="007B3145" w:rsidRDefault="007B3145" w:rsidP="00995F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По этой причине доходы от реализации муниципального имущества за последние 5 лет сократились более чем в 2 раза, с 290,0 до 140,0 млн. рублей.</w:t>
      </w:r>
      <w:proofErr w:type="gramEnd"/>
    </w:p>
    <w:p w:rsidR="007B3145" w:rsidRDefault="00974B2E" w:rsidP="00995F6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974B2E">
        <w:rPr>
          <w:b/>
          <w:i/>
          <w:color w:val="000000" w:themeColor="text1"/>
          <w:sz w:val="28"/>
          <w:szCs w:val="28"/>
        </w:rPr>
        <w:t xml:space="preserve">Доходы от перечисления </w:t>
      </w:r>
      <w:proofErr w:type="gramStart"/>
      <w:r w:rsidRPr="00974B2E">
        <w:rPr>
          <w:b/>
          <w:i/>
          <w:color w:val="000000" w:themeColor="text1"/>
          <w:sz w:val="28"/>
          <w:szCs w:val="28"/>
        </w:rPr>
        <w:t>части прибыли, остающейся после уплаты налогов и иных обязательных платежей муниципальных унитарных предприятий</w:t>
      </w:r>
      <w:r w:rsidRPr="00974B2E">
        <w:rPr>
          <w:color w:val="000000" w:themeColor="text1"/>
          <w:sz w:val="28"/>
          <w:szCs w:val="28"/>
        </w:rPr>
        <w:t xml:space="preserve"> запланированы</w:t>
      </w:r>
      <w:proofErr w:type="gramEnd"/>
      <w:r w:rsidRPr="00974B2E">
        <w:rPr>
          <w:color w:val="000000" w:themeColor="text1"/>
          <w:sz w:val="28"/>
          <w:szCs w:val="28"/>
        </w:rPr>
        <w:t xml:space="preserve"> на 20</w:t>
      </w:r>
      <w:r>
        <w:rPr>
          <w:color w:val="000000" w:themeColor="text1"/>
          <w:sz w:val="28"/>
          <w:szCs w:val="28"/>
        </w:rPr>
        <w:t>20</w:t>
      </w:r>
      <w:r w:rsidRPr="00974B2E">
        <w:rPr>
          <w:color w:val="000000" w:themeColor="text1"/>
          <w:sz w:val="28"/>
          <w:szCs w:val="28"/>
        </w:rPr>
        <w:t xml:space="preserve"> год в сумме </w:t>
      </w:r>
      <w:r>
        <w:rPr>
          <w:color w:val="000000" w:themeColor="text1"/>
          <w:sz w:val="28"/>
          <w:szCs w:val="28"/>
        </w:rPr>
        <w:t>393</w:t>
      </w:r>
      <w:r w:rsidRPr="00974B2E">
        <w:rPr>
          <w:color w:val="000000" w:themeColor="text1"/>
          <w:sz w:val="28"/>
          <w:szCs w:val="28"/>
        </w:rPr>
        <w:t xml:space="preserve"> тыс. руб., в 202</w:t>
      </w:r>
      <w:r>
        <w:rPr>
          <w:color w:val="000000" w:themeColor="text1"/>
          <w:sz w:val="28"/>
          <w:szCs w:val="28"/>
        </w:rPr>
        <w:t>1</w:t>
      </w:r>
      <w:r w:rsidRPr="00974B2E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2</w:t>
      </w:r>
      <w:r w:rsidRPr="00974B2E">
        <w:rPr>
          <w:color w:val="000000" w:themeColor="text1"/>
          <w:sz w:val="28"/>
          <w:szCs w:val="28"/>
        </w:rPr>
        <w:t xml:space="preserve"> годах в суммах </w:t>
      </w:r>
      <w:r>
        <w:rPr>
          <w:color w:val="000000" w:themeColor="text1"/>
          <w:sz w:val="28"/>
          <w:szCs w:val="28"/>
        </w:rPr>
        <w:t>559</w:t>
      </w:r>
      <w:r w:rsidRPr="00974B2E">
        <w:rPr>
          <w:color w:val="000000" w:themeColor="text1"/>
          <w:sz w:val="28"/>
          <w:szCs w:val="28"/>
        </w:rPr>
        <w:t xml:space="preserve">,0 тыс. руб. и </w:t>
      </w:r>
      <w:r>
        <w:rPr>
          <w:color w:val="000000" w:themeColor="text1"/>
          <w:sz w:val="28"/>
          <w:szCs w:val="28"/>
        </w:rPr>
        <w:t>626</w:t>
      </w:r>
      <w:r w:rsidRPr="00974B2E">
        <w:rPr>
          <w:color w:val="000000" w:themeColor="text1"/>
          <w:sz w:val="28"/>
          <w:szCs w:val="28"/>
        </w:rPr>
        <w:t>,0 тыс. руб. соответственно</w:t>
      </w:r>
      <w:r w:rsidR="002E280B">
        <w:rPr>
          <w:color w:val="000000" w:themeColor="text1"/>
          <w:sz w:val="28"/>
          <w:szCs w:val="28"/>
        </w:rPr>
        <w:t>.</w:t>
      </w:r>
    </w:p>
    <w:p w:rsidR="001E0D5F" w:rsidRPr="005007A7" w:rsidRDefault="000634AD" w:rsidP="00360CD6">
      <w:pPr>
        <w:ind w:firstLine="708"/>
        <w:jc w:val="both"/>
        <w:rPr>
          <w:sz w:val="28"/>
          <w:szCs w:val="28"/>
        </w:rPr>
      </w:pPr>
      <w:r w:rsidRPr="000634AD">
        <w:rPr>
          <w:sz w:val="28"/>
          <w:szCs w:val="28"/>
        </w:rPr>
        <w:lastRenderedPageBreak/>
        <w:t xml:space="preserve">В составе неналоговых доходов запланированы </w:t>
      </w:r>
      <w:r w:rsidRPr="000634AD">
        <w:rPr>
          <w:b/>
          <w:i/>
          <w:sz w:val="28"/>
          <w:szCs w:val="28"/>
        </w:rPr>
        <w:t>штрафы, санкции</w:t>
      </w:r>
      <w:r w:rsidR="002E280B">
        <w:rPr>
          <w:b/>
          <w:i/>
          <w:sz w:val="28"/>
          <w:szCs w:val="28"/>
        </w:rPr>
        <w:t xml:space="preserve"> и платежи за </w:t>
      </w:r>
      <w:r w:rsidRPr="000634AD">
        <w:rPr>
          <w:b/>
          <w:i/>
          <w:sz w:val="28"/>
          <w:szCs w:val="28"/>
        </w:rPr>
        <w:t xml:space="preserve">возмещение ущерба </w:t>
      </w:r>
      <w:r w:rsidRPr="000634AD">
        <w:rPr>
          <w:sz w:val="28"/>
          <w:szCs w:val="28"/>
        </w:rPr>
        <w:t>в сумм</w:t>
      </w:r>
      <w:r w:rsidR="002E280B">
        <w:rPr>
          <w:sz w:val="28"/>
          <w:szCs w:val="28"/>
        </w:rPr>
        <w:t>е 61,1 млн. руб. ежегодно.</w:t>
      </w:r>
    </w:p>
    <w:p w:rsidR="00723FE1" w:rsidRDefault="00A41A85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четырех последних лет в бюджет города по данному доходному источнику поступало порядка 150 млн. рублей. Планируемое снижение поступлений объясняется внесением изменений в порядок зачисления штрафов</w:t>
      </w:r>
      <w:r w:rsidR="008452F8">
        <w:rPr>
          <w:sz w:val="28"/>
          <w:szCs w:val="28"/>
        </w:rPr>
        <w:t>, которые будут зачисляться в бюджет финансирования органа, налагающего штраф</w:t>
      </w:r>
      <w:r>
        <w:rPr>
          <w:sz w:val="28"/>
          <w:szCs w:val="28"/>
        </w:rPr>
        <w:t xml:space="preserve">. Сумма выпадающих доходов ежегодно составит </w:t>
      </w:r>
      <w:r w:rsidR="0089141B">
        <w:rPr>
          <w:sz w:val="28"/>
          <w:szCs w:val="28"/>
        </w:rPr>
        <w:t>по</w:t>
      </w:r>
      <w:r w:rsidR="000E3546">
        <w:rPr>
          <w:sz w:val="28"/>
          <w:szCs w:val="28"/>
        </w:rPr>
        <w:t>рядка</w:t>
      </w:r>
      <w:r w:rsidR="0089141B">
        <w:rPr>
          <w:sz w:val="28"/>
          <w:szCs w:val="28"/>
        </w:rPr>
        <w:t xml:space="preserve"> 90 млн. рублей.</w:t>
      </w:r>
    </w:p>
    <w:p w:rsidR="0089141B" w:rsidRDefault="0089141B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 восполнения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актически не определен.</w:t>
      </w:r>
    </w:p>
    <w:p w:rsidR="008472D4" w:rsidRDefault="0089141B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Резервом роста </w:t>
      </w:r>
      <w:r w:rsidR="00C647DA">
        <w:rPr>
          <w:sz w:val="28"/>
          <w:szCs w:val="28"/>
        </w:rPr>
        <w:t xml:space="preserve">собственных доходов бюджета города потенциально является </w:t>
      </w:r>
      <w:r w:rsidR="00C647DA" w:rsidRPr="004B3EE1">
        <w:rPr>
          <w:b/>
          <w:i/>
          <w:sz w:val="28"/>
          <w:szCs w:val="28"/>
        </w:rPr>
        <w:t>задолженность по налоговым и неналоговым платежам</w:t>
      </w:r>
      <w:r w:rsidR="00C647DA">
        <w:rPr>
          <w:sz w:val="28"/>
          <w:szCs w:val="28"/>
        </w:rPr>
        <w:t>, общая сумма которой на 01.10.2019 года составляла 426,0 млн. рублей.</w:t>
      </w:r>
      <w:r w:rsidR="00FC45F8">
        <w:rPr>
          <w:sz w:val="28"/>
          <w:szCs w:val="28"/>
        </w:rPr>
        <w:t xml:space="preserve"> По сравнению с той же датой прошлого года задолженность возросла на 25%</w:t>
      </w:r>
      <w:r w:rsidR="00284DDB">
        <w:rPr>
          <w:sz w:val="28"/>
          <w:szCs w:val="28"/>
        </w:rPr>
        <w:t>, что в сумме составляет 83,2 млн. рублей.</w:t>
      </w:r>
    </w:p>
    <w:p w:rsidR="0089141B" w:rsidRPr="00721CAE" w:rsidRDefault="008472D4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общей суммы задолженности 172,7 млн. рублей приходится на налоговые платежи и 253,3 млн. руб. на неналоговые источники, администраторами которых являются структурные подразделения администрации города Липецка и Липецкой области.</w:t>
      </w:r>
      <w:r w:rsidR="00FC45F8">
        <w:rPr>
          <w:sz w:val="28"/>
          <w:szCs w:val="28"/>
        </w:rPr>
        <w:t xml:space="preserve"> </w:t>
      </w:r>
    </w:p>
    <w:p w:rsidR="001965F9" w:rsidRDefault="001965F9" w:rsidP="001965F9">
      <w:pPr>
        <w:ind w:firstLine="708"/>
        <w:jc w:val="both"/>
        <w:rPr>
          <w:sz w:val="28"/>
          <w:szCs w:val="28"/>
        </w:rPr>
      </w:pPr>
      <w:r w:rsidRPr="001965F9">
        <w:rPr>
          <w:sz w:val="28"/>
          <w:szCs w:val="28"/>
        </w:rPr>
        <w:t xml:space="preserve">Анализируя структуру задолженности, следует отметить, что значительная доля её нереальна </w:t>
      </w:r>
      <w:proofErr w:type="gramStart"/>
      <w:r w:rsidRPr="001965F9">
        <w:rPr>
          <w:sz w:val="28"/>
          <w:szCs w:val="28"/>
        </w:rPr>
        <w:t>ко</w:t>
      </w:r>
      <w:proofErr w:type="gramEnd"/>
      <w:r w:rsidRPr="001965F9">
        <w:rPr>
          <w:sz w:val="28"/>
          <w:szCs w:val="28"/>
        </w:rPr>
        <w:t xml:space="preserve"> взысканию.</w:t>
      </w:r>
    </w:p>
    <w:p w:rsidR="00703180" w:rsidRPr="00535A49" w:rsidRDefault="00703180" w:rsidP="00703180">
      <w:pPr>
        <w:ind w:firstLine="708"/>
        <w:jc w:val="both"/>
        <w:rPr>
          <w:sz w:val="28"/>
          <w:szCs w:val="28"/>
        </w:rPr>
      </w:pPr>
      <w:r w:rsidRPr="00535A49">
        <w:rPr>
          <w:b/>
          <w:i/>
          <w:sz w:val="28"/>
          <w:szCs w:val="28"/>
        </w:rPr>
        <w:t xml:space="preserve">Недоимка по неналоговым платежам </w:t>
      </w:r>
      <w:r w:rsidRPr="00535A49">
        <w:rPr>
          <w:sz w:val="28"/>
          <w:szCs w:val="28"/>
        </w:rPr>
        <w:t>с начала текущего года возросла на 74,3 млн. руб. и составила на 01.10.201</w:t>
      </w:r>
      <w:r w:rsidR="00045C48">
        <w:rPr>
          <w:sz w:val="28"/>
          <w:szCs w:val="28"/>
        </w:rPr>
        <w:t>9</w:t>
      </w:r>
      <w:r w:rsidRPr="00535A49">
        <w:rPr>
          <w:sz w:val="28"/>
          <w:szCs w:val="28"/>
        </w:rPr>
        <w:t xml:space="preserve"> года 253,3 млн. рублей.</w:t>
      </w:r>
    </w:p>
    <w:p w:rsidR="00703180" w:rsidRPr="001965F9" w:rsidRDefault="00703180" w:rsidP="00703180">
      <w:pPr>
        <w:ind w:firstLine="708"/>
        <w:jc w:val="both"/>
        <w:rPr>
          <w:sz w:val="28"/>
          <w:szCs w:val="28"/>
        </w:rPr>
      </w:pPr>
      <w:r w:rsidRPr="00703180">
        <w:rPr>
          <w:i/>
          <w:sz w:val="28"/>
          <w:szCs w:val="28"/>
        </w:rPr>
        <w:t xml:space="preserve">Более половины задолженности – 164,5 млн. руб., числится по арендной плате за земельные участки, расположенные на территории города право </w:t>
      </w:r>
      <w:proofErr w:type="gramStart"/>
      <w:r w:rsidRPr="00703180">
        <w:rPr>
          <w:i/>
          <w:sz w:val="28"/>
          <w:szCs w:val="28"/>
        </w:rPr>
        <w:t>собственности</w:t>
      </w:r>
      <w:proofErr w:type="gramEnd"/>
      <w:r w:rsidRPr="00703180">
        <w:rPr>
          <w:i/>
          <w:sz w:val="28"/>
          <w:szCs w:val="28"/>
        </w:rPr>
        <w:t xml:space="preserve"> на которые не разграничено, а администратором платежа является Управление имущественных и земельных отношений администрации Липецкой области</w:t>
      </w:r>
      <w:r w:rsidRPr="00535A49">
        <w:rPr>
          <w:sz w:val="28"/>
          <w:szCs w:val="28"/>
        </w:rPr>
        <w:t>.</w:t>
      </w:r>
    </w:p>
    <w:p w:rsidR="001965F9" w:rsidRPr="001965F9" w:rsidRDefault="001965F9" w:rsidP="001965F9">
      <w:pPr>
        <w:ind w:firstLine="708"/>
        <w:jc w:val="both"/>
        <w:rPr>
          <w:sz w:val="28"/>
          <w:szCs w:val="28"/>
        </w:rPr>
      </w:pPr>
      <w:r w:rsidRPr="001965F9">
        <w:rPr>
          <w:sz w:val="28"/>
          <w:szCs w:val="28"/>
        </w:rPr>
        <w:t xml:space="preserve">Так, из общей суммы недоимки по налоговым платежам </w:t>
      </w:r>
      <w:r>
        <w:rPr>
          <w:sz w:val="28"/>
          <w:szCs w:val="28"/>
        </w:rPr>
        <w:t>72,8 млн. руб.</w:t>
      </w:r>
      <w:r w:rsidRPr="001965F9">
        <w:rPr>
          <w:sz w:val="28"/>
          <w:szCs w:val="28"/>
        </w:rPr>
        <w:t xml:space="preserve"> составляет недоимка по земельному налогу, </w:t>
      </w:r>
      <w:r>
        <w:rPr>
          <w:sz w:val="28"/>
          <w:szCs w:val="28"/>
        </w:rPr>
        <w:t>основная сумма</w:t>
      </w:r>
      <w:r w:rsidR="004B3EE1">
        <w:rPr>
          <w:sz w:val="28"/>
          <w:szCs w:val="28"/>
        </w:rPr>
        <w:t xml:space="preserve"> которой</w:t>
      </w:r>
      <w:r w:rsidRPr="001965F9">
        <w:rPr>
          <w:sz w:val="28"/>
          <w:szCs w:val="28"/>
        </w:rPr>
        <w:t xml:space="preserve">  приходится на предприятия, прекратившие деятельность и находящиеся в </w:t>
      </w:r>
      <w:proofErr w:type="spellStart"/>
      <w:r w:rsidR="004B3EE1" w:rsidRPr="001965F9">
        <w:rPr>
          <w:sz w:val="28"/>
          <w:szCs w:val="28"/>
        </w:rPr>
        <w:t>банкрот</w:t>
      </w:r>
      <w:r w:rsidR="004B3EE1">
        <w:rPr>
          <w:sz w:val="28"/>
          <w:szCs w:val="28"/>
        </w:rPr>
        <w:t>н</w:t>
      </w:r>
      <w:r w:rsidR="004B3EE1" w:rsidRPr="001965F9">
        <w:rPr>
          <w:sz w:val="28"/>
          <w:szCs w:val="28"/>
        </w:rPr>
        <w:t>ом</w:t>
      </w:r>
      <w:proofErr w:type="spellEnd"/>
      <w:r w:rsidRPr="001965F9">
        <w:rPr>
          <w:sz w:val="28"/>
          <w:szCs w:val="28"/>
        </w:rPr>
        <w:t xml:space="preserve"> и </w:t>
      </w:r>
      <w:proofErr w:type="spellStart"/>
      <w:r w:rsidRPr="001965F9">
        <w:rPr>
          <w:sz w:val="28"/>
          <w:szCs w:val="28"/>
        </w:rPr>
        <w:t>предбанкротном</w:t>
      </w:r>
      <w:proofErr w:type="spellEnd"/>
      <w:r w:rsidRPr="001965F9">
        <w:rPr>
          <w:sz w:val="28"/>
          <w:szCs w:val="28"/>
        </w:rPr>
        <w:t xml:space="preserve"> состоянии.</w:t>
      </w:r>
    </w:p>
    <w:p w:rsidR="00535A49" w:rsidRDefault="004B3EE1" w:rsidP="004B3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="008A17F4">
        <w:rPr>
          <w:sz w:val="28"/>
          <w:szCs w:val="28"/>
        </w:rPr>
        <w:t xml:space="preserve"> задолженности находится в стадии исполнительного производства ФССП,</w:t>
      </w:r>
      <w:r>
        <w:rPr>
          <w:sz w:val="28"/>
          <w:szCs w:val="28"/>
        </w:rPr>
        <w:t xml:space="preserve"> на отдельные суммы</w:t>
      </w:r>
      <w:r w:rsidR="008A17F4">
        <w:rPr>
          <w:sz w:val="28"/>
          <w:szCs w:val="28"/>
        </w:rPr>
        <w:t xml:space="preserve"> имеется Решение суда о взыскании, либо ведется претензионная работа.</w:t>
      </w:r>
    </w:p>
    <w:p w:rsidR="008A17F4" w:rsidRDefault="008A17F4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должниками являются: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003A2C" w:rsidTr="00003A2C">
        <w:tc>
          <w:tcPr>
            <w:tcW w:w="5778" w:type="dxa"/>
          </w:tcPr>
          <w:p w:rsidR="00003A2C" w:rsidRDefault="00003A2C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</w:t>
            </w:r>
            <w:r w:rsidR="0070318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Липецкая ипотечная корпорация</w:t>
            </w:r>
            <w:r w:rsidR="00703180">
              <w:rPr>
                <w:sz w:val="28"/>
                <w:szCs w:val="28"/>
              </w:rPr>
              <w:t>»</w:t>
            </w:r>
          </w:p>
        </w:tc>
        <w:tc>
          <w:tcPr>
            <w:tcW w:w="3792" w:type="dxa"/>
          </w:tcPr>
          <w:p w:rsidR="00003A2C" w:rsidRDefault="00003A2C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- 41,4 млн. руб.</w:t>
            </w:r>
            <w:r w:rsidR="00D80495">
              <w:rPr>
                <w:sz w:val="28"/>
                <w:szCs w:val="28"/>
              </w:rPr>
              <w:t>;</w:t>
            </w:r>
          </w:p>
        </w:tc>
      </w:tr>
      <w:tr w:rsidR="00003A2C" w:rsidTr="00003A2C">
        <w:tc>
          <w:tcPr>
            <w:tcW w:w="5778" w:type="dxa"/>
          </w:tcPr>
          <w:p w:rsidR="00003A2C" w:rsidRDefault="00003A2C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Управляющая компания</w:t>
            </w:r>
          </w:p>
          <w:p w:rsidR="00003A2C" w:rsidRDefault="00003A2C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«Стройдеталь»</w:t>
            </w:r>
          </w:p>
        </w:tc>
        <w:tc>
          <w:tcPr>
            <w:tcW w:w="3792" w:type="dxa"/>
          </w:tcPr>
          <w:p w:rsidR="00003A2C" w:rsidRDefault="00003A2C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- 2,5 млн. руб.</w:t>
            </w:r>
            <w:r w:rsidR="00D80495">
              <w:rPr>
                <w:sz w:val="28"/>
                <w:szCs w:val="28"/>
              </w:rPr>
              <w:t>;</w:t>
            </w:r>
          </w:p>
          <w:p w:rsidR="00003A2C" w:rsidRDefault="00003A2C" w:rsidP="000D6FC4">
            <w:pPr>
              <w:jc w:val="both"/>
              <w:rPr>
                <w:sz w:val="28"/>
                <w:szCs w:val="28"/>
              </w:rPr>
            </w:pPr>
          </w:p>
        </w:tc>
      </w:tr>
      <w:tr w:rsidR="00003A2C" w:rsidTr="00003A2C">
        <w:tc>
          <w:tcPr>
            <w:tcW w:w="5778" w:type="dxa"/>
          </w:tcPr>
          <w:p w:rsidR="00003A2C" w:rsidRDefault="00003A2C" w:rsidP="00003A2C">
            <w:pPr>
              <w:jc w:val="both"/>
              <w:rPr>
                <w:sz w:val="28"/>
                <w:szCs w:val="28"/>
              </w:rPr>
            </w:pPr>
            <w:r w:rsidRPr="00003A2C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завод</w:t>
            </w:r>
            <w:r w:rsidRPr="00003A2C">
              <w:rPr>
                <w:sz w:val="28"/>
                <w:szCs w:val="28"/>
              </w:rPr>
              <w:t xml:space="preserve"> «Стройдеталь»</w:t>
            </w:r>
          </w:p>
        </w:tc>
        <w:tc>
          <w:tcPr>
            <w:tcW w:w="3792" w:type="dxa"/>
          </w:tcPr>
          <w:p w:rsidR="00003A2C" w:rsidRDefault="00003A2C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- 2,5 млн. руб.</w:t>
            </w:r>
            <w:r w:rsidR="00D80495">
              <w:rPr>
                <w:sz w:val="28"/>
                <w:szCs w:val="28"/>
              </w:rPr>
              <w:t>;</w:t>
            </w:r>
          </w:p>
        </w:tc>
      </w:tr>
      <w:tr w:rsidR="00003A2C" w:rsidTr="00003A2C">
        <w:tc>
          <w:tcPr>
            <w:tcW w:w="5778" w:type="dxa"/>
          </w:tcPr>
          <w:p w:rsidR="00003A2C" w:rsidRDefault="00003A2C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«СУ-5 </w:t>
            </w:r>
            <w:proofErr w:type="spellStart"/>
            <w:r>
              <w:rPr>
                <w:sz w:val="28"/>
                <w:szCs w:val="28"/>
              </w:rPr>
              <w:t>Липецкстрой</w:t>
            </w:r>
            <w:proofErr w:type="spellEnd"/>
            <w:r>
              <w:rPr>
                <w:sz w:val="28"/>
                <w:szCs w:val="28"/>
              </w:rPr>
              <w:t>-М»</w:t>
            </w:r>
          </w:p>
        </w:tc>
        <w:tc>
          <w:tcPr>
            <w:tcW w:w="3792" w:type="dxa"/>
          </w:tcPr>
          <w:p w:rsidR="00003A2C" w:rsidRDefault="00003A2C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- 3,2 млн. руб.</w:t>
            </w:r>
            <w:r w:rsidR="00D80495">
              <w:rPr>
                <w:sz w:val="28"/>
                <w:szCs w:val="28"/>
              </w:rPr>
              <w:t>;</w:t>
            </w:r>
          </w:p>
        </w:tc>
      </w:tr>
      <w:tr w:rsidR="00003A2C" w:rsidTr="00003A2C">
        <w:tc>
          <w:tcPr>
            <w:tcW w:w="5778" w:type="dxa"/>
          </w:tcPr>
          <w:p w:rsidR="00003A2C" w:rsidRDefault="00003A2C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«ЛК-</w:t>
            </w: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2" w:type="dxa"/>
          </w:tcPr>
          <w:p w:rsidR="00003A2C" w:rsidRDefault="00003A2C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- 3,9 млн. руб.</w:t>
            </w:r>
            <w:r w:rsidR="00D80495">
              <w:rPr>
                <w:sz w:val="28"/>
                <w:szCs w:val="28"/>
              </w:rPr>
              <w:t>;</w:t>
            </w:r>
          </w:p>
        </w:tc>
      </w:tr>
      <w:tr w:rsidR="00003A2C" w:rsidTr="00003A2C">
        <w:tc>
          <w:tcPr>
            <w:tcW w:w="5778" w:type="dxa"/>
          </w:tcPr>
          <w:p w:rsidR="00003A2C" w:rsidRDefault="00003A2C" w:rsidP="00003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Прагма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2" w:type="dxa"/>
          </w:tcPr>
          <w:p w:rsidR="00003A2C" w:rsidRDefault="00003A2C" w:rsidP="000D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- 5,0 млн. руб</w:t>
            </w:r>
            <w:r w:rsidR="00D80495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80495" w:rsidRDefault="00D80495" w:rsidP="000D6FC4">
      <w:pPr>
        <w:ind w:firstLine="708"/>
        <w:jc w:val="both"/>
        <w:rPr>
          <w:sz w:val="28"/>
          <w:szCs w:val="28"/>
        </w:rPr>
      </w:pPr>
    </w:p>
    <w:p w:rsidR="009971FF" w:rsidRDefault="009971FF" w:rsidP="000D6FC4">
      <w:pPr>
        <w:ind w:firstLine="708"/>
        <w:jc w:val="both"/>
        <w:rPr>
          <w:sz w:val="28"/>
          <w:szCs w:val="28"/>
        </w:rPr>
      </w:pPr>
      <w:r w:rsidRPr="001D73E3">
        <w:rPr>
          <w:sz w:val="28"/>
          <w:szCs w:val="28"/>
        </w:rPr>
        <w:t xml:space="preserve">Недоимка по арендной плате за земельные участки, входящие в состав муниципальной казны г. Липецка составляет 16,5 млн. руб., из которой 10,7 </w:t>
      </w:r>
      <w:r w:rsidRPr="001D73E3">
        <w:rPr>
          <w:sz w:val="28"/>
          <w:szCs w:val="28"/>
        </w:rPr>
        <w:lastRenderedPageBreak/>
        <w:t>млн. руб.</w:t>
      </w:r>
      <w:r w:rsidR="00ED7F1C" w:rsidRPr="001D73E3">
        <w:rPr>
          <w:sz w:val="28"/>
          <w:szCs w:val="28"/>
        </w:rPr>
        <w:t>,</w:t>
      </w:r>
      <w:r w:rsidRPr="001D73E3">
        <w:rPr>
          <w:sz w:val="28"/>
          <w:szCs w:val="28"/>
        </w:rPr>
        <w:t xml:space="preserve"> – </w:t>
      </w:r>
      <w:r w:rsidR="0018684A" w:rsidRPr="001D73E3">
        <w:rPr>
          <w:sz w:val="28"/>
          <w:szCs w:val="28"/>
        </w:rPr>
        <w:t>задолженность,</w:t>
      </w:r>
      <w:r w:rsidRPr="001D73E3">
        <w:rPr>
          <w:sz w:val="28"/>
          <w:szCs w:val="28"/>
        </w:rPr>
        <w:t xml:space="preserve"> включенная в реестр требований кредиторов к муниципальному предприятию – банкроту «Второе ГЖУ г. Липецка»</w:t>
      </w:r>
      <w:r>
        <w:rPr>
          <w:sz w:val="28"/>
          <w:szCs w:val="28"/>
        </w:rPr>
        <w:t>.</w:t>
      </w:r>
    </w:p>
    <w:p w:rsidR="009971FF" w:rsidRDefault="0098144C" w:rsidP="000D6FC4">
      <w:pPr>
        <w:ind w:firstLine="708"/>
        <w:jc w:val="both"/>
        <w:rPr>
          <w:sz w:val="28"/>
          <w:szCs w:val="28"/>
        </w:rPr>
      </w:pPr>
      <w:r w:rsidRPr="0018684A">
        <w:rPr>
          <w:sz w:val="28"/>
          <w:szCs w:val="28"/>
        </w:rPr>
        <w:t>По дог</w:t>
      </w:r>
      <w:r w:rsidR="00ED7F1C" w:rsidRPr="0018684A">
        <w:rPr>
          <w:sz w:val="28"/>
          <w:szCs w:val="28"/>
        </w:rPr>
        <w:t>оворам аренды нежилых помещений</w:t>
      </w:r>
      <w:r w:rsidRPr="0018684A">
        <w:rPr>
          <w:sz w:val="28"/>
          <w:szCs w:val="28"/>
        </w:rPr>
        <w:t xml:space="preserve"> входящих в состав муниципальной казны задолженность составляет 40,4 млн. руб.,</w:t>
      </w:r>
      <w:r>
        <w:rPr>
          <w:sz w:val="28"/>
          <w:szCs w:val="28"/>
        </w:rPr>
        <w:t xml:space="preserve"> из которой 38,4 млн. руб. приходится на расторгнутые договор</w:t>
      </w:r>
      <w:r w:rsidR="00ED7F1C">
        <w:rPr>
          <w:sz w:val="28"/>
          <w:szCs w:val="28"/>
        </w:rPr>
        <w:t>ы</w:t>
      </w:r>
      <w:r>
        <w:rPr>
          <w:sz w:val="28"/>
          <w:szCs w:val="28"/>
        </w:rPr>
        <w:t xml:space="preserve"> аренды.</w:t>
      </w:r>
    </w:p>
    <w:p w:rsidR="0098144C" w:rsidRDefault="0098144C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Взыскание такой задолженности осуществляется Федеральной службой судебных приставов в рамках исполнительного производства.</w:t>
      </w:r>
    </w:p>
    <w:p w:rsidR="00535A49" w:rsidRPr="000833E7" w:rsidRDefault="00535A49" w:rsidP="000D6FC4">
      <w:pPr>
        <w:ind w:firstLine="708"/>
        <w:jc w:val="both"/>
        <w:rPr>
          <w:sz w:val="28"/>
          <w:szCs w:val="28"/>
        </w:rPr>
      </w:pPr>
      <w:r w:rsidRPr="001D73E3">
        <w:rPr>
          <w:sz w:val="28"/>
          <w:szCs w:val="28"/>
        </w:rPr>
        <w:t>За нанимателями муниципального жилищного фонда</w:t>
      </w:r>
      <w:r>
        <w:rPr>
          <w:sz w:val="28"/>
          <w:szCs w:val="28"/>
        </w:rPr>
        <w:t xml:space="preserve"> на </w:t>
      </w:r>
      <w:r w:rsidR="00ED7F1C">
        <w:rPr>
          <w:sz w:val="28"/>
          <w:szCs w:val="28"/>
        </w:rPr>
        <w:t>0</w:t>
      </w:r>
      <w:r>
        <w:rPr>
          <w:sz w:val="28"/>
          <w:szCs w:val="28"/>
        </w:rPr>
        <w:t xml:space="preserve">1.10.2019 года </w:t>
      </w:r>
      <w:r w:rsidRPr="0018684A">
        <w:rPr>
          <w:sz w:val="28"/>
          <w:szCs w:val="28"/>
        </w:rPr>
        <w:t>сложилась</w:t>
      </w:r>
      <w:r w:rsidRPr="00703180">
        <w:rPr>
          <w:i/>
          <w:sz w:val="28"/>
          <w:szCs w:val="28"/>
        </w:rPr>
        <w:t xml:space="preserve"> </w:t>
      </w:r>
      <w:r w:rsidRPr="001D73E3">
        <w:rPr>
          <w:sz w:val="28"/>
          <w:szCs w:val="28"/>
        </w:rPr>
        <w:t>задолженность в сумме 27,2 млн.</w:t>
      </w:r>
      <w:r w:rsidRPr="00703180">
        <w:rPr>
          <w:i/>
          <w:sz w:val="28"/>
          <w:szCs w:val="28"/>
        </w:rPr>
        <w:t xml:space="preserve"> </w:t>
      </w:r>
      <w:r w:rsidRPr="001D73E3">
        <w:rPr>
          <w:sz w:val="28"/>
          <w:szCs w:val="28"/>
        </w:rPr>
        <w:t>руб</w:t>
      </w:r>
      <w:r>
        <w:rPr>
          <w:sz w:val="28"/>
          <w:szCs w:val="28"/>
        </w:rPr>
        <w:t>., за субъектами малого и среднего предпринимательства по договорам купли-продажи муниципального имущества – 4,7 млн. руб</w:t>
      </w:r>
      <w:r w:rsidR="00ED7F1C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7C1761" w:rsidRDefault="00535A49" w:rsidP="000D6FC4">
      <w:pPr>
        <w:ind w:firstLine="708"/>
        <w:jc w:val="both"/>
        <w:rPr>
          <w:i/>
          <w:sz w:val="28"/>
          <w:szCs w:val="28"/>
        </w:rPr>
      </w:pPr>
      <w:r w:rsidRPr="00535A49">
        <w:rPr>
          <w:i/>
          <w:sz w:val="28"/>
          <w:szCs w:val="28"/>
        </w:rPr>
        <w:t>Структурным подразделениям администрации города, являющимися администраторами платежей (управление имущественных и земельных отношений и департамент ЖКХ), следует активизировать работу по взысканию задолженности, а также пересмотреть условия договоров аренды муниципального имущества в части установления сроков авансовых платежей и ужесточения  санкций за неуплату</w:t>
      </w:r>
      <w:r>
        <w:rPr>
          <w:i/>
          <w:sz w:val="28"/>
          <w:szCs w:val="28"/>
        </w:rPr>
        <w:t>.</w:t>
      </w:r>
    </w:p>
    <w:p w:rsidR="00535A49" w:rsidRDefault="00535A49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отметить, что уровень собираемости земельных и имущественных платежей напрямую зависит от финансового состояния плательщика и соизмеримости начисленных сумм его текущему доходу.</w:t>
      </w:r>
    </w:p>
    <w:p w:rsidR="00535A49" w:rsidRDefault="00703180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</w:t>
      </w:r>
      <w:r w:rsidR="00380A57">
        <w:rPr>
          <w:sz w:val="28"/>
          <w:szCs w:val="28"/>
        </w:rPr>
        <w:t>, сокращени</w:t>
      </w:r>
      <w:r w:rsidR="00ED7F1C">
        <w:rPr>
          <w:sz w:val="28"/>
          <w:szCs w:val="28"/>
        </w:rPr>
        <w:t>ю</w:t>
      </w:r>
      <w:r w:rsidR="00380A57">
        <w:rPr>
          <w:sz w:val="28"/>
          <w:szCs w:val="28"/>
        </w:rPr>
        <w:t xml:space="preserve"> задолженности по многим налоговым и неналоговым платежам буд</w:t>
      </w:r>
      <w:r w:rsidR="00ED7F1C">
        <w:rPr>
          <w:sz w:val="28"/>
          <w:szCs w:val="28"/>
        </w:rPr>
        <w:t>у</w:t>
      </w:r>
      <w:r w:rsidR="00380A57">
        <w:rPr>
          <w:sz w:val="28"/>
          <w:szCs w:val="28"/>
        </w:rPr>
        <w:t>т способствовать достижения национальных целей</w:t>
      </w:r>
      <w:r>
        <w:rPr>
          <w:sz w:val="28"/>
          <w:szCs w:val="28"/>
        </w:rPr>
        <w:t xml:space="preserve"> и задач</w:t>
      </w:r>
      <w:r w:rsidR="00380A57">
        <w:rPr>
          <w:sz w:val="28"/>
          <w:szCs w:val="28"/>
        </w:rPr>
        <w:t xml:space="preserve"> развития Российской Федерации, таких как сокращение бедности и повышения уровня реальных доходов населения.</w:t>
      </w:r>
    </w:p>
    <w:p w:rsidR="00703180" w:rsidRDefault="00703180" w:rsidP="000D6FC4">
      <w:pPr>
        <w:ind w:firstLine="708"/>
        <w:jc w:val="both"/>
        <w:rPr>
          <w:sz w:val="28"/>
          <w:szCs w:val="28"/>
        </w:rPr>
      </w:pPr>
    </w:p>
    <w:p w:rsidR="00F0045B" w:rsidRDefault="00F0045B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бюджете города на 2020 год запланированы </w:t>
      </w:r>
      <w:r w:rsidRPr="00703180">
        <w:rPr>
          <w:b/>
          <w:i/>
          <w:sz w:val="28"/>
          <w:szCs w:val="28"/>
        </w:rPr>
        <w:t>безвозмездные поступления от бюджетов других уровней бюджетной системы</w:t>
      </w:r>
      <w:r w:rsidRPr="00F0045B">
        <w:rPr>
          <w:i/>
          <w:sz w:val="28"/>
          <w:szCs w:val="28"/>
        </w:rPr>
        <w:t xml:space="preserve"> РФ</w:t>
      </w:r>
      <w:r>
        <w:rPr>
          <w:sz w:val="28"/>
          <w:szCs w:val="28"/>
        </w:rPr>
        <w:t xml:space="preserve"> в суме 6400,4 млн. руб., что составляет 57% общих доходов от бюджета города.</w:t>
      </w:r>
    </w:p>
    <w:p w:rsidR="00F0045B" w:rsidRDefault="00F0045B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19B2">
        <w:rPr>
          <w:sz w:val="28"/>
          <w:szCs w:val="28"/>
        </w:rPr>
        <w:t>Безвозмездные поступления состоят из</w:t>
      </w:r>
      <w:proofErr w:type="gramStart"/>
      <w:r w:rsidR="00D419B2">
        <w:rPr>
          <w:sz w:val="28"/>
          <w:szCs w:val="28"/>
        </w:rPr>
        <w:t xml:space="preserve"> :</w:t>
      </w:r>
      <w:proofErr w:type="gramEnd"/>
    </w:p>
    <w:p w:rsidR="00D419B2" w:rsidRDefault="00D419B2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субвенций на исполнение переданных </w:t>
      </w:r>
    </w:p>
    <w:p w:rsidR="00D419B2" w:rsidRDefault="00D419B2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полномочий                                                                -4529,3 млн. руб.;</w:t>
      </w:r>
    </w:p>
    <w:p w:rsidR="00703180" w:rsidRDefault="00D419B2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дотации </w:t>
      </w:r>
      <w:r w:rsidR="00703180">
        <w:rPr>
          <w:sz w:val="28"/>
          <w:szCs w:val="28"/>
        </w:rPr>
        <w:t xml:space="preserve">                                                                    - 158,8 млн. руб.;</w:t>
      </w:r>
    </w:p>
    <w:p w:rsidR="00375803" w:rsidRDefault="00703180" w:rsidP="00375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19B2">
        <w:rPr>
          <w:sz w:val="28"/>
          <w:szCs w:val="28"/>
        </w:rPr>
        <w:t>ины</w:t>
      </w:r>
      <w:r w:rsidR="00143020">
        <w:rPr>
          <w:sz w:val="28"/>
          <w:szCs w:val="28"/>
        </w:rPr>
        <w:t>х</w:t>
      </w:r>
      <w:r w:rsidR="00375803">
        <w:rPr>
          <w:sz w:val="28"/>
          <w:szCs w:val="28"/>
        </w:rPr>
        <w:t xml:space="preserve"> межбюджетных</w:t>
      </w:r>
      <w:r>
        <w:rPr>
          <w:sz w:val="28"/>
          <w:szCs w:val="28"/>
        </w:rPr>
        <w:t xml:space="preserve"> </w:t>
      </w:r>
      <w:r w:rsidR="00375803">
        <w:rPr>
          <w:sz w:val="28"/>
          <w:szCs w:val="28"/>
        </w:rPr>
        <w:t xml:space="preserve">трансфертов, </w:t>
      </w:r>
    </w:p>
    <w:p w:rsidR="00D419B2" w:rsidRDefault="00D419B2" w:rsidP="00375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</w:t>
      </w:r>
      <w:r w:rsidR="00703180">
        <w:rPr>
          <w:sz w:val="28"/>
          <w:szCs w:val="28"/>
        </w:rPr>
        <w:t>и</w:t>
      </w:r>
      <w:r>
        <w:rPr>
          <w:sz w:val="28"/>
          <w:szCs w:val="28"/>
        </w:rPr>
        <w:t xml:space="preserve">, прочих безвозмездных поступлений        - </w:t>
      </w:r>
      <w:r w:rsidR="00375803">
        <w:rPr>
          <w:sz w:val="28"/>
          <w:szCs w:val="28"/>
        </w:rPr>
        <w:t>1712,4</w:t>
      </w:r>
      <w:r>
        <w:rPr>
          <w:sz w:val="28"/>
          <w:szCs w:val="28"/>
        </w:rPr>
        <w:t xml:space="preserve"> млн. рублей</w:t>
      </w:r>
    </w:p>
    <w:p w:rsidR="00D419B2" w:rsidRDefault="00D419B2" w:rsidP="00D419B2">
      <w:pPr>
        <w:jc w:val="both"/>
        <w:rPr>
          <w:sz w:val="28"/>
          <w:szCs w:val="28"/>
        </w:rPr>
      </w:pPr>
    </w:p>
    <w:p w:rsidR="00D419B2" w:rsidRDefault="00D419B2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сумма субсидий будет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419B2" w:rsidRDefault="00D419B2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реконструкцию проспекта Победы,</w:t>
      </w:r>
    </w:p>
    <w:p w:rsidR="00D419B2" w:rsidRDefault="00D419B2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ул. Баумана                                                                 - 776 млн. руб.;</w:t>
      </w:r>
    </w:p>
    <w:p w:rsidR="00D419B2" w:rsidRDefault="00D419B2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моста в пос. Новая жизнь                -  276,2 млн. руб.;</w:t>
      </w:r>
    </w:p>
    <w:p w:rsidR="00D419B2" w:rsidRDefault="00D419B2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переселение из аварийного жилья                          - 193,8 млн. рублей</w:t>
      </w:r>
    </w:p>
    <w:p w:rsidR="00D419B2" w:rsidRDefault="00D419B2" w:rsidP="000D6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субсидий не является окончательным и будет скорректирован по мере принятия решений о предоставлении средств из бюджетов других уровней.</w:t>
      </w:r>
    </w:p>
    <w:p w:rsidR="00B55901" w:rsidRPr="00A2095E" w:rsidRDefault="00B55901" w:rsidP="009A0EB4">
      <w:pPr>
        <w:jc w:val="both"/>
        <w:rPr>
          <w:sz w:val="28"/>
          <w:szCs w:val="28"/>
        </w:rPr>
      </w:pPr>
    </w:p>
    <w:p w:rsidR="00D43F81" w:rsidRDefault="00D43F81" w:rsidP="001D0D13">
      <w:pPr>
        <w:jc w:val="center"/>
        <w:rPr>
          <w:b/>
          <w:color w:val="000000" w:themeColor="text1"/>
          <w:sz w:val="28"/>
          <w:szCs w:val="28"/>
        </w:rPr>
      </w:pPr>
    </w:p>
    <w:p w:rsidR="00F0508A" w:rsidRDefault="00F0508A" w:rsidP="00F0508A">
      <w:pPr>
        <w:jc w:val="center"/>
        <w:rPr>
          <w:b/>
          <w:color w:val="000000" w:themeColor="text1"/>
          <w:sz w:val="28"/>
          <w:szCs w:val="28"/>
        </w:rPr>
      </w:pPr>
      <w:r w:rsidRPr="00926F2B">
        <w:rPr>
          <w:b/>
          <w:color w:val="000000" w:themeColor="text1"/>
          <w:sz w:val="28"/>
          <w:szCs w:val="28"/>
        </w:rPr>
        <w:lastRenderedPageBreak/>
        <w:t>5.  Расходы бюджета города</w:t>
      </w:r>
    </w:p>
    <w:p w:rsidR="00F0508A" w:rsidRPr="00926F2B" w:rsidRDefault="00F0508A" w:rsidP="00F0508A">
      <w:pPr>
        <w:jc w:val="center"/>
        <w:rPr>
          <w:b/>
          <w:color w:val="000000" w:themeColor="text1"/>
          <w:sz w:val="28"/>
          <w:szCs w:val="28"/>
        </w:rPr>
      </w:pPr>
    </w:p>
    <w:p w:rsidR="00F0508A" w:rsidRPr="00926F2B" w:rsidRDefault="00F0508A" w:rsidP="00F0508A">
      <w:pPr>
        <w:jc w:val="both"/>
        <w:rPr>
          <w:color w:val="000000" w:themeColor="text1"/>
          <w:sz w:val="28"/>
          <w:szCs w:val="28"/>
        </w:rPr>
      </w:pPr>
      <w:r w:rsidRPr="00926F2B">
        <w:rPr>
          <w:b/>
          <w:color w:val="000000" w:themeColor="text1"/>
          <w:sz w:val="28"/>
          <w:szCs w:val="28"/>
        </w:rPr>
        <w:tab/>
      </w:r>
      <w:r w:rsidRPr="00926F2B">
        <w:rPr>
          <w:color w:val="000000" w:themeColor="text1"/>
          <w:sz w:val="28"/>
          <w:szCs w:val="28"/>
        </w:rPr>
        <w:t>Общий объем расходов на 20</w:t>
      </w:r>
      <w:r>
        <w:rPr>
          <w:color w:val="000000" w:themeColor="text1"/>
          <w:sz w:val="28"/>
          <w:szCs w:val="28"/>
        </w:rPr>
        <w:t>20</w:t>
      </w:r>
      <w:r w:rsidRPr="00926F2B">
        <w:rPr>
          <w:color w:val="000000" w:themeColor="text1"/>
          <w:sz w:val="28"/>
          <w:szCs w:val="28"/>
        </w:rPr>
        <w:t xml:space="preserve"> год  запланирован в сумме </w:t>
      </w:r>
      <w:r>
        <w:rPr>
          <w:color w:val="000000" w:themeColor="text1"/>
          <w:sz w:val="28"/>
          <w:szCs w:val="28"/>
        </w:rPr>
        <w:t>11657,5</w:t>
      </w:r>
      <w:r w:rsidRPr="00926F2B">
        <w:rPr>
          <w:color w:val="000000" w:themeColor="text1"/>
          <w:sz w:val="28"/>
          <w:szCs w:val="28"/>
        </w:rPr>
        <w:t xml:space="preserve">  млн. руб., что меньше </w:t>
      </w:r>
      <w:r>
        <w:rPr>
          <w:color w:val="000000" w:themeColor="text1"/>
          <w:sz w:val="28"/>
          <w:szCs w:val="28"/>
        </w:rPr>
        <w:t>уточненного по состоянию на 30.10.2019г.  плана</w:t>
      </w:r>
      <w:r w:rsidRPr="00926F2B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расходов бюджета </w:t>
      </w:r>
      <w:r w:rsidRPr="00926F2B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926F2B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926F2B">
        <w:rPr>
          <w:color w:val="000000" w:themeColor="text1"/>
          <w:sz w:val="28"/>
          <w:szCs w:val="28"/>
        </w:rPr>
        <w:t xml:space="preserve">  на сумму</w:t>
      </w:r>
      <w:r>
        <w:rPr>
          <w:color w:val="000000" w:themeColor="text1"/>
          <w:sz w:val="28"/>
          <w:szCs w:val="28"/>
        </w:rPr>
        <w:t xml:space="preserve"> 3451,1 </w:t>
      </w:r>
      <w:r w:rsidRPr="00926F2B">
        <w:rPr>
          <w:color w:val="000000" w:themeColor="text1"/>
          <w:sz w:val="28"/>
          <w:szCs w:val="28"/>
        </w:rPr>
        <w:t>млн. руб.</w:t>
      </w:r>
      <w:r>
        <w:rPr>
          <w:color w:val="000000" w:themeColor="text1"/>
          <w:sz w:val="28"/>
          <w:szCs w:val="28"/>
        </w:rPr>
        <w:t xml:space="preserve">, </w:t>
      </w:r>
      <w:r w:rsidRPr="00926F2B">
        <w:rPr>
          <w:color w:val="000000" w:themeColor="text1"/>
          <w:sz w:val="28"/>
          <w:szCs w:val="28"/>
        </w:rPr>
        <w:t xml:space="preserve"> или на </w:t>
      </w:r>
      <w:r>
        <w:rPr>
          <w:color w:val="000000" w:themeColor="text1"/>
          <w:sz w:val="28"/>
          <w:szCs w:val="28"/>
        </w:rPr>
        <w:t xml:space="preserve">22,8 </w:t>
      </w:r>
      <w:r w:rsidRPr="00926F2B">
        <w:rPr>
          <w:color w:val="000000" w:themeColor="text1"/>
          <w:sz w:val="28"/>
          <w:szCs w:val="28"/>
        </w:rPr>
        <w:t xml:space="preserve"> процент</w:t>
      </w:r>
      <w:r>
        <w:rPr>
          <w:color w:val="000000" w:themeColor="text1"/>
          <w:sz w:val="28"/>
          <w:szCs w:val="28"/>
        </w:rPr>
        <w:t>а</w:t>
      </w:r>
      <w:r w:rsidRPr="00926F2B">
        <w:rPr>
          <w:color w:val="000000" w:themeColor="text1"/>
          <w:sz w:val="28"/>
          <w:szCs w:val="28"/>
        </w:rPr>
        <w:t>. Объем расходов на плановый период 20</w:t>
      </w:r>
      <w:r>
        <w:rPr>
          <w:color w:val="000000" w:themeColor="text1"/>
          <w:sz w:val="28"/>
          <w:szCs w:val="28"/>
        </w:rPr>
        <w:t>21</w:t>
      </w:r>
      <w:r w:rsidRPr="00926F2B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2</w:t>
      </w:r>
      <w:r w:rsidRPr="00926F2B">
        <w:rPr>
          <w:color w:val="000000" w:themeColor="text1"/>
          <w:sz w:val="28"/>
          <w:szCs w:val="28"/>
        </w:rPr>
        <w:t xml:space="preserve"> годов составляет </w:t>
      </w:r>
      <w:r>
        <w:rPr>
          <w:color w:val="000000" w:themeColor="text1"/>
          <w:sz w:val="28"/>
          <w:szCs w:val="28"/>
        </w:rPr>
        <w:t>9459,4 млн.  руб. и 9476,6</w:t>
      </w:r>
      <w:r w:rsidRPr="00926F2B">
        <w:rPr>
          <w:color w:val="000000" w:themeColor="text1"/>
          <w:sz w:val="28"/>
          <w:szCs w:val="28"/>
        </w:rPr>
        <w:t xml:space="preserve"> млн. руб. соответственно.</w:t>
      </w:r>
    </w:p>
    <w:p w:rsidR="00F0508A" w:rsidRPr="00926F2B" w:rsidRDefault="00F0508A" w:rsidP="00F0508A">
      <w:pPr>
        <w:jc w:val="both"/>
        <w:rPr>
          <w:color w:val="000000" w:themeColor="text1"/>
          <w:sz w:val="28"/>
          <w:szCs w:val="28"/>
        </w:rPr>
      </w:pPr>
      <w:r w:rsidRPr="00926F2B">
        <w:rPr>
          <w:color w:val="000000" w:themeColor="text1"/>
          <w:sz w:val="28"/>
          <w:szCs w:val="28"/>
        </w:rPr>
        <w:tab/>
      </w:r>
      <w:r w:rsidRPr="008605D9">
        <w:rPr>
          <w:color w:val="000000" w:themeColor="text1"/>
          <w:sz w:val="28"/>
          <w:szCs w:val="28"/>
        </w:rPr>
        <w:t>В 2020 году  доля программных расходов  осталась практически на прежнем уровне -95,9%.</w:t>
      </w:r>
      <w:r w:rsidRPr="00C64118">
        <w:rPr>
          <w:i/>
          <w:color w:val="000000" w:themeColor="text1"/>
          <w:sz w:val="28"/>
          <w:szCs w:val="28"/>
        </w:rPr>
        <w:t xml:space="preserve">  </w:t>
      </w:r>
      <w:r w:rsidRPr="00926F2B">
        <w:rPr>
          <w:color w:val="000000" w:themeColor="text1"/>
          <w:sz w:val="28"/>
          <w:szCs w:val="28"/>
        </w:rPr>
        <w:t xml:space="preserve">Неохваченными программами остаются расходы на обеспечение деятельности </w:t>
      </w:r>
      <w:r>
        <w:rPr>
          <w:color w:val="000000" w:themeColor="text1"/>
          <w:sz w:val="28"/>
          <w:szCs w:val="28"/>
        </w:rPr>
        <w:t xml:space="preserve">Липецкого </w:t>
      </w:r>
      <w:r w:rsidRPr="00926F2B">
        <w:rPr>
          <w:color w:val="000000" w:themeColor="text1"/>
          <w:sz w:val="28"/>
          <w:szCs w:val="28"/>
        </w:rPr>
        <w:t xml:space="preserve">городского Совета депутатов, </w:t>
      </w:r>
      <w:r>
        <w:rPr>
          <w:color w:val="000000" w:themeColor="text1"/>
          <w:sz w:val="28"/>
          <w:szCs w:val="28"/>
        </w:rPr>
        <w:t>а</w:t>
      </w:r>
      <w:r w:rsidRPr="00926F2B">
        <w:rPr>
          <w:color w:val="000000" w:themeColor="text1"/>
          <w:sz w:val="28"/>
          <w:szCs w:val="28"/>
        </w:rPr>
        <w:t xml:space="preserve">дминистрации города, Счетной палаты, </w:t>
      </w:r>
      <w:r>
        <w:rPr>
          <w:color w:val="000000" w:themeColor="text1"/>
          <w:sz w:val="28"/>
          <w:szCs w:val="28"/>
        </w:rPr>
        <w:t xml:space="preserve">четырех управлений по округам, </w:t>
      </w:r>
      <w:r w:rsidRPr="00926F2B">
        <w:rPr>
          <w:color w:val="000000" w:themeColor="text1"/>
          <w:sz w:val="28"/>
          <w:szCs w:val="28"/>
        </w:rPr>
        <w:t xml:space="preserve">архивного управления, </w:t>
      </w:r>
      <w:r w:rsidR="00485EA4">
        <w:rPr>
          <w:color w:val="000000" w:themeColor="text1"/>
          <w:sz w:val="28"/>
          <w:szCs w:val="28"/>
        </w:rPr>
        <w:t xml:space="preserve">управления </w:t>
      </w:r>
      <w:r w:rsidRPr="00926F2B">
        <w:rPr>
          <w:color w:val="000000" w:themeColor="text1"/>
          <w:sz w:val="28"/>
          <w:szCs w:val="28"/>
        </w:rPr>
        <w:t>ЗАГС, управления опеки (попечительства) и охраны прав детства</w:t>
      </w:r>
      <w:r>
        <w:rPr>
          <w:color w:val="000000" w:themeColor="text1"/>
          <w:sz w:val="28"/>
          <w:szCs w:val="28"/>
        </w:rPr>
        <w:t>, МКУ «Управление ресурсного обеспечения администрации города Липецка»</w:t>
      </w:r>
      <w:r w:rsidRPr="00926F2B">
        <w:rPr>
          <w:color w:val="000000" w:themeColor="text1"/>
          <w:sz w:val="28"/>
          <w:szCs w:val="28"/>
        </w:rPr>
        <w:t>. Кроме того, непрограммными ос</w:t>
      </w:r>
      <w:r>
        <w:rPr>
          <w:color w:val="000000" w:themeColor="text1"/>
          <w:sz w:val="28"/>
          <w:szCs w:val="28"/>
        </w:rPr>
        <w:t>таются расходы резервного фонда и на реализацию</w:t>
      </w:r>
      <w:r w:rsidRPr="00926F2B">
        <w:rPr>
          <w:color w:val="000000" w:themeColor="text1"/>
          <w:sz w:val="28"/>
          <w:szCs w:val="28"/>
        </w:rPr>
        <w:t xml:space="preserve"> наказов избирателей.</w:t>
      </w:r>
      <w:r>
        <w:rPr>
          <w:color w:val="000000" w:themeColor="text1"/>
          <w:sz w:val="28"/>
          <w:szCs w:val="28"/>
        </w:rPr>
        <w:t xml:space="preserve"> </w:t>
      </w:r>
    </w:p>
    <w:p w:rsidR="00F0508A" w:rsidRPr="00843ED1" w:rsidRDefault="00F0508A" w:rsidP="00F0508A">
      <w:pPr>
        <w:jc w:val="both"/>
        <w:rPr>
          <w:sz w:val="28"/>
          <w:szCs w:val="28"/>
        </w:rPr>
      </w:pPr>
      <w:r w:rsidRPr="00926F2B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Размеры у</w:t>
      </w:r>
      <w:r w:rsidRPr="00B51D5A">
        <w:rPr>
          <w:sz w:val="28"/>
          <w:szCs w:val="28"/>
        </w:rPr>
        <w:t>словно утверждаемы</w:t>
      </w:r>
      <w:r>
        <w:rPr>
          <w:sz w:val="28"/>
          <w:szCs w:val="28"/>
        </w:rPr>
        <w:t>х</w:t>
      </w:r>
      <w:r w:rsidRPr="00B51D5A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B51D5A">
        <w:rPr>
          <w:sz w:val="28"/>
          <w:szCs w:val="28"/>
        </w:rPr>
        <w:t xml:space="preserve">  на плановый период 202</w:t>
      </w:r>
      <w:r>
        <w:rPr>
          <w:sz w:val="28"/>
          <w:szCs w:val="28"/>
        </w:rPr>
        <w:t>1</w:t>
      </w:r>
      <w:r w:rsidRPr="00B51D5A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B51D5A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установлены в соответствии с   нормами </w:t>
      </w:r>
      <w:r w:rsidRPr="00843ED1">
        <w:rPr>
          <w:sz w:val="28"/>
          <w:szCs w:val="28"/>
        </w:rPr>
        <w:t xml:space="preserve"> статьи 184.1 Бюджетного кодекса РФ.</w:t>
      </w:r>
    </w:p>
    <w:p w:rsidR="00F0508A" w:rsidRPr="00926F2B" w:rsidRDefault="00F0508A" w:rsidP="00F0508A">
      <w:pPr>
        <w:jc w:val="both"/>
        <w:rPr>
          <w:color w:val="000000" w:themeColor="text1"/>
          <w:sz w:val="28"/>
          <w:szCs w:val="28"/>
        </w:rPr>
      </w:pPr>
      <w:r w:rsidRPr="00926F2B">
        <w:rPr>
          <w:color w:val="000000" w:themeColor="text1"/>
          <w:sz w:val="28"/>
          <w:szCs w:val="28"/>
        </w:rPr>
        <w:tab/>
        <w:t>При анализе расходов бюджета использованы сведения, содержащиеся в пояснительной з</w:t>
      </w:r>
      <w:r>
        <w:rPr>
          <w:color w:val="000000" w:themeColor="text1"/>
          <w:sz w:val="28"/>
          <w:szCs w:val="28"/>
        </w:rPr>
        <w:t>аписке к проекту Бюджета на 2020 год  и на плановый период 2021</w:t>
      </w:r>
      <w:r w:rsidRPr="00926F2B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2</w:t>
      </w:r>
      <w:r w:rsidRPr="00926F2B">
        <w:rPr>
          <w:color w:val="000000" w:themeColor="text1"/>
          <w:sz w:val="28"/>
          <w:szCs w:val="28"/>
        </w:rPr>
        <w:t xml:space="preserve"> годов</w:t>
      </w:r>
      <w:r>
        <w:rPr>
          <w:color w:val="000000" w:themeColor="text1"/>
          <w:sz w:val="28"/>
          <w:szCs w:val="28"/>
        </w:rPr>
        <w:t>, приложениях</w:t>
      </w:r>
      <w:r w:rsidRPr="00926F2B">
        <w:rPr>
          <w:color w:val="000000" w:themeColor="text1"/>
          <w:sz w:val="28"/>
          <w:szCs w:val="28"/>
        </w:rPr>
        <w:t xml:space="preserve"> к проекту бюджета,  паспорт</w:t>
      </w:r>
      <w:r>
        <w:rPr>
          <w:color w:val="000000" w:themeColor="text1"/>
          <w:sz w:val="28"/>
          <w:szCs w:val="28"/>
        </w:rPr>
        <w:t>ах</w:t>
      </w:r>
      <w:r w:rsidRPr="00926F2B">
        <w:rPr>
          <w:color w:val="000000" w:themeColor="text1"/>
          <w:sz w:val="28"/>
          <w:szCs w:val="28"/>
        </w:rPr>
        <w:t xml:space="preserve"> муниципальных программ</w:t>
      </w:r>
      <w:r>
        <w:rPr>
          <w:color w:val="000000" w:themeColor="text1"/>
          <w:sz w:val="28"/>
          <w:szCs w:val="28"/>
        </w:rPr>
        <w:t>, информация главных администраторов расходов бюджета</w:t>
      </w:r>
      <w:r w:rsidRPr="00926F2B">
        <w:rPr>
          <w:color w:val="000000" w:themeColor="text1"/>
          <w:sz w:val="28"/>
          <w:szCs w:val="28"/>
        </w:rPr>
        <w:t>.</w:t>
      </w:r>
    </w:p>
    <w:p w:rsidR="00F0508A" w:rsidRPr="00843ED1" w:rsidRDefault="00F0508A" w:rsidP="00F0508A">
      <w:pPr>
        <w:ind w:firstLine="708"/>
        <w:jc w:val="both"/>
        <w:rPr>
          <w:sz w:val="28"/>
          <w:szCs w:val="28"/>
        </w:rPr>
      </w:pPr>
      <w:r w:rsidRPr="00843ED1">
        <w:rPr>
          <w:sz w:val="28"/>
          <w:szCs w:val="28"/>
        </w:rPr>
        <w:t>При формировании объема и структуры расходов городского бюджета на 2020-2022 годы учтена необходимость безусловного исполнения действующих расходных обязательств с учетом их оптимизации и повышения эффективно</w:t>
      </w:r>
      <w:r>
        <w:rPr>
          <w:sz w:val="28"/>
          <w:szCs w:val="28"/>
        </w:rPr>
        <w:t>сти</w:t>
      </w:r>
      <w:r w:rsidRPr="00843ED1">
        <w:rPr>
          <w:sz w:val="28"/>
          <w:szCs w:val="28"/>
        </w:rPr>
        <w:t xml:space="preserve"> использования финансовых ресурсов</w:t>
      </w:r>
      <w:r>
        <w:rPr>
          <w:sz w:val="28"/>
          <w:szCs w:val="28"/>
        </w:rPr>
        <w:t>, что важно для долгосрочной финансовой устойчивости бюджета города</w:t>
      </w:r>
      <w:r w:rsidRPr="00843ED1">
        <w:rPr>
          <w:sz w:val="28"/>
          <w:szCs w:val="28"/>
        </w:rPr>
        <w:t>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proofErr w:type="gramStart"/>
      <w:r w:rsidRPr="00843ED1">
        <w:rPr>
          <w:sz w:val="28"/>
          <w:szCs w:val="28"/>
        </w:rPr>
        <w:t>Объемы бюджетных ассигнований на 2020 год определены с учетом принятых решений по повышению оплаты труда, в том числе в соответствии с «дорожными картами» в отраслях образования и культуры   и необходимости осуществления доплат до установленного на соответствующий год Правительством РФ уровня минимального размера оплаты труда (с 11280 руб. в 2019 году</w:t>
      </w:r>
      <w:r>
        <w:rPr>
          <w:sz w:val="28"/>
          <w:szCs w:val="28"/>
        </w:rPr>
        <w:t xml:space="preserve"> повышен  до 12130 руб. в 2020 году), на что потребуется</w:t>
      </w:r>
      <w:proofErr w:type="gramEnd"/>
      <w:r>
        <w:rPr>
          <w:sz w:val="28"/>
          <w:szCs w:val="28"/>
        </w:rPr>
        <w:t xml:space="preserve"> 92 млн. рублей</w:t>
      </w:r>
      <w:r w:rsidRPr="00843ED1">
        <w:rPr>
          <w:sz w:val="28"/>
          <w:szCs w:val="28"/>
        </w:rPr>
        <w:t>.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43ED1">
        <w:rPr>
          <w:sz w:val="28"/>
          <w:szCs w:val="28"/>
        </w:rPr>
        <w:t xml:space="preserve">ланируется увеличение  бюджетных расходов </w:t>
      </w:r>
      <w:r>
        <w:rPr>
          <w:sz w:val="28"/>
          <w:szCs w:val="28"/>
        </w:rPr>
        <w:t>на оплату коммунальных услуг и вывоз ТБО с учетом роста тарифов (65,0 млн. руб.).</w:t>
      </w:r>
    </w:p>
    <w:p w:rsidR="00F0508A" w:rsidRPr="00843ED1" w:rsidRDefault="00F0508A" w:rsidP="00F0508A">
      <w:pPr>
        <w:jc w:val="both"/>
        <w:rPr>
          <w:sz w:val="28"/>
          <w:szCs w:val="28"/>
        </w:rPr>
      </w:pPr>
      <w:r w:rsidRPr="00843ED1">
        <w:rPr>
          <w:sz w:val="28"/>
          <w:szCs w:val="28"/>
        </w:rPr>
        <w:t xml:space="preserve">          Для определения </w:t>
      </w:r>
      <w:r>
        <w:rPr>
          <w:sz w:val="28"/>
          <w:szCs w:val="28"/>
        </w:rPr>
        <w:t xml:space="preserve">текущих </w:t>
      </w:r>
      <w:r w:rsidRPr="00843ED1">
        <w:rPr>
          <w:sz w:val="28"/>
          <w:szCs w:val="28"/>
        </w:rPr>
        <w:t>расходов бюджета, базовые параметры, утвержденные на 1 января 201</w:t>
      </w:r>
      <w:r>
        <w:rPr>
          <w:sz w:val="28"/>
          <w:szCs w:val="28"/>
        </w:rPr>
        <w:t>9</w:t>
      </w:r>
      <w:r w:rsidRPr="00843ED1">
        <w:rPr>
          <w:sz w:val="28"/>
          <w:szCs w:val="28"/>
        </w:rPr>
        <w:t xml:space="preserve"> года, скорректированы с учетом  произведенных структурных и организационных преобразований,  введения новой сети, прекращения или возникновения расходных полномочий</w:t>
      </w:r>
      <w:r>
        <w:rPr>
          <w:sz w:val="28"/>
          <w:szCs w:val="28"/>
        </w:rPr>
        <w:t xml:space="preserve"> (63,0 млн. руб.)</w:t>
      </w:r>
      <w:r w:rsidRPr="00843ED1">
        <w:rPr>
          <w:sz w:val="28"/>
          <w:szCs w:val="28"/>
        </w:rPr>
        <w:t>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26F2B">
        <w:rPr>
          <w:sz w:val="28"/>
          <w:szCs w:val="28"/>
        </w:rPr>
        <w:t xml:space="preserve">оличество главных распорядителей согласно ведомственной структуре определено в количестве </w:t>
      </w:r>
      <w:r w:rsidRPr="00435C73">
        <w:rPr>
          <w:sz w:val="28"/>
          <w:szCs w:val="28"/>
        </w:rPr>
        <w:t>22</w:t>
      </w:r>
      <w:r w:rsidRPr="00926F2B">
        <w:rPr>
          <w:sz w:val="28"/>
          <w:szCs w:val="28"/>
        </w:rPr>
        <w:t xml:space="preserve"> единиц. По функциональной структуре расходов сохранены разделы, сформированные в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году, которые  представлены следующей таблицей: 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</w:p>
    <w:p w:rsidR="00F0508A" w:rsidRPr="00926F2B" w:rsidRDefault="00F0508A" w:rsidP="00F0508A">
      <w:pPr>
        <w:ind w:firstLine="708"/>
        <w:jc w:val="right"/>
        <w:rPr>
          <w:sz w:val="22"/>
          <w:szCs w:val="22"/>
        </w:rPr>
      </w:pPr>
      <w:r w:rsidRPr="00926F2B">
        <w:rPr>
          <w:sz w:val="22"/>
          <w:szCs w:val="22"/>
        </w:rPr>
        <w:t xml:space="preserve"> (млн. руб.)  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10"/>
        <w:gridCol w:w="851"/>
        <w:gridCol w:w="708"/>
        <w:gridCol w:w="851"/>
        <w:gridCol w:w="709"/>
        <w:gridCol w:w="850"/>
        <w:gridCol w:w="567"/>
        <w:gridCol w:w="849"/>
        <w:gridCol w:w="569"/>
        <w:gridCol w:w="708"/>
        <w:gridCol w:w="709"/>
      </w:tblGrid>
      <w:tr w:rsidR="00F0508A" w:rsidRPr="00926F2B" w:rsidTr="00820C60">
        <w:trPr>
          <w:cantSplit/>
          <w:trHeight w:val="56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Наименование      раздела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Бюджет на 201</w:t>
            </w:r>
            <w:r>
              <w:rPr>
                <w:sz w:val="22"/>
                <w:szCs w:val="22"/>
              </w:rPr>
              <w:t>9</w:t>
            </w:r>
            <w:r w:rsidRPr="00926F2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11" w:right="-108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</w:t>
            </w:r>
            <w:proofErr w:type="spellStart"/>
            <w:proofErr w:type="gramStart"/>
            <w:r>
              <w:rPr>
                <w:sz w:val="22"/>
                <w:szCs w:val="22"/>
              </w:rPr>
              <w:t>бюдже</w:t>
            </w:r>
            <w:proofErr w:type="spellEnd"/>
            <w:r>
              <w:rPr>
                <w:sz w:val="22"/>
                <w:szCs w:val="22"/>
              </w:rPr>
              <w:t>-та</w:t>
            </w:r>
            <w:proofErr w:type="gramEnd"/>
            <w:r>
              <w:rPr>
                <w:sz w:val="22"/>
                <w:szCs w:val="22"/>
              </w:rPr>
              <w:t xml:space="preserve"> на 2020</w:t>
            </w:r>
            <w:r w:rsidRPr="00926F2B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39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в %</w:t>
            </w:r>
          </w:p>
          <w:p w:rsidR="00F0508A" w:rsidRPr="00926F2B" w:rsidRDefault="00F0508A" w:rsidP="00820C60">
            <w:pPr>
              <w:ind w:left="-108" w:right="-39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общим расходам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Отклонение проекта бюджета на 20</w:t>
            </w:r>
            <w:r>
              <w:rPr>
                <w:sz w:val="22"/>
                <w:szCs w:val="22"/>
              </w:rPr>
              <w:t>20</w:t>
            </w:r>
            <w:r w:rsidRPr="00926F2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Проект</w:t>
            </w: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плановый период</w:t>
            </w:r>
          </w:p>
        </w:tc>
      </w:tr>
      <w:tr w:rsidR="00F0508A" w:rsidRPr="00926F2B" w:rsidTr="00820C60">
        <w:trPr>
          <w:cantSplit/>
          <w:trHeight w:val="8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8A" w:rsidRPr="00926F2B" w:rsidRDefault="00F0508A" w:rsidP="00820C6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26F2B">
              <w:rPr>
                <w:sz w:val="22"/>
                <w:szCs w:val="22"/>
              </w:rPr>
              <w:t>Перво</w:t>
            </w:r>
            <w:proofErr w:type="spellEnd"/>
            <w:r w:rsidRPr="00926F2B">
              <w:rPr>
                <w:sz w:val="22"/>
                <w:szCs w:val="22"/>
              </w:rPr>
              <w:t>-начальный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26F2B">
              <w:rPr>
                <w:sz w:val="22"/>
                <w:szCs w:val="22"/>
              </w:rPr>
              <w:t>Уточ</w:t>
            </w:r>
            <w:proofErr w:type="spellEnd"/>
            <w:r w:rsidRPr="00926F2B">
              <w:rPr>
                <w:sz w:val="22"/>
                <w:szCs w:val="22"/>
              </w:rPr>
              <w:t>-</w:t>
            </w: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26F2B">
              <w:rPr>
                <w:sz w:val="22"/>
                <w:szCs w:val="22"/>
              </w:rPr>
              <w:t>ненны</w:t>
            </w:r>
            <w:proofErr w:type="gramStart"/>
            <w:r w:rsidRPr="00926F2B"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на 30.10.19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252603" w:rsidRDefault="00F0508A" w:rsidP="00820C60">
            <w:pPr>
              <w:ind w:left="-108" w:right="-108"/>
              <w:jc w:val="center"/>
            </w:pPr>
            <w:proofErr w:type="spellStart"/>
            <w:r w:rsidRPr="00252603">
              <w:t>Уточ</w:t>
            </w:r>
            <w:proofErr w:type="spellEnd"/>
            <w:r w:rsidRPr="00252603">
              <w:t>-</w:t>
            </w: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52603">
              <w:t>ненный</w:t>
            </w:r>
            <w:proofErr w:type="spellEnd"/>
            <w:r w:rsidRPr="00252603">
              <w:t xml:space="preserve"> </w:t>
            </w:r>
            <w:proofErr w:type="gramStart"/>
            <w:r w:rsidRPr="00252603">
              <w:t>в</w:t>
            </w:r>
            <w:proofErr w:type="gramEnd"/>
            <w:r w:rsidRPr="00252603">
              <w:t xml:space="preserve"> % к общим расходам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8A" w:rsidRPr="00926F2B" w:rsidRDefault="00F0508A" w:rsidP="00820C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8A" w:rsidRPr="00926F2B" w:rsidRDefault="00F0508A" w:rsidP="00820C6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От </w:t>
            </w:r>
            <w:proofErr w:type="spellStart"/>
            <w:r>
              <w:rPr>
                <w:sz w:val="22"/>
                <w:szCs w:val="22"/>
              </w:rPr>
              <w:t>перво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926F2B">
              <w:rPr>
                <w:sz w:val="22"/>
                <w:szCs w:val="22"/>
              </w:rPr>
              <w:t>начального</w:t>
            </w:r>
            <w:proofErr w:type="gramEnd"/>
            <w:r w:rsidRPr="00926F2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9 год</w:t>
            </w:r>
            <w:r w:rsidRPr="00926F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От уточнен-</w:t>
            </w: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26F2B">
              <w:rPr>
                <w:sz w:val="22"/>
                <w:szCs w:val="22"/>
              </w:rPr>
              <w:t>ного</w:t>
            </w:r>
            <w:proofErr w:type="spellEnd"/>
            <w:r w:rsidRPr="00926F2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9</w:t>
            </w:r>
            <w:r w:rsidRPr="00926F2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8A" w:rsidRPr="00926F2B" w:rsidRDefault="00F0508A" w:rsidP="00820C60">
            <w:pPr>
              <w:rPr>
                <w:sz w:val="22"/>
                <w:szCs w:val="22"/>
              </w:rPr>
            </w:pPr>
          </w:p>
        </w:tc>
      </w:tr>
      <w:tr w:rsidR="00F0508A" w:rsidRPr="00926F2B" w:rsidTr="00820C60">
        <w:trPr>
          <w:cantSplit/>
          <w:trHeight w:val="33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8A" w:rsidRPr="00926F2B" w:rsidRDefault="00F0508A" w:rsidP="00820C6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8A" w:rsidRPr="00926F2B" w:rsidRDefault="00F0508A" w:rsidP="00820C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8A" w:rsidRPr="00926F2B" w:rsidRDefault="00F0508A" w:rsidP="00820C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8A" w:rsidRPr="00926F2B" w:rsidRDefault="00F0508A" w:rsidP="00820C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8A" w:rsidRPr="00926F2B" w:rsidRDefault="00F0508A" w:rsidP="00820C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8A" w:rsidRPr="00926F2B" w:rsidRDefault="00F0508A" w:rsidP="00820C6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сумма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  <w:r w:rsidRPr="00926F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  <w:r w:rsidRPr="00926F2B">
              <w:rPr>
                <w:sz w:val="22"/>
                <w:szCs w:val="22"/>
              </w:rPr>
              <w:t xml:space="preserve"> </w:t>
            </w:r>
          </w:p>
        </w:tc>
      </w:tr>
      <w:tr w:rsidR="00F0508A" w:rsidRPr="00926F2B" w:rsidTr="00820C6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576,6</w:t>
            </w:r>
          </w:p>
        </w:tc>
      </w:tr>
      <w:tr w:rsidR="00F0508A" w:rsidRPr="00926F2B" w:rsidTr="00820C6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</w:tr>
      <w:tr w:rsidR="00F0508A" w:rsidRPr="00926F2B" w:rsidTr="00820C6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-1601,3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665,9</w:t>
            </w:r>
          </w:p>
        </w:tc>
      </w:tr>
      <w:tr w:rsidR="00F0508A" w:rsidRPr="00926F2B" w:rsidTr="00820C6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 </w:t>
            </w: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485EA4" w:rsidP="00485E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1858</w:t>
            </w:r>
            <w:r w:rsidR="00F0508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485E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</w:t>
            </w:r>
            <w:r w:rsidR="00485EA4">
              <w:rPr>
                <w:sz w:val="22"/>
                <w:szCs w:val="22"/>
              </w:rPr>
              <w:t>6,4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485EA4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85EA4">
              <w:rPr>
                <w:sz w:val="22"/>
                <w:szCs w:val="22"/>
              </w:rPr>
              <w:t>52,0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tabs>
                <w:tab w:val="center" w:pos="31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tabs>
                <w:tab w:val="center" w:pos="31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tabs>
                <w:tab w:val="center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</w:t>
            </w:r>
          </w:p>
        </w:tc>
      </w:tr>
      <w:tr w:rsidR="00F0508A" w:rsidRPr="00926F2B" w:rsidTr="00820C60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right="-108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F0508A" w:rsidRPr="00926F2B" w:rsidTr="00820C6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3908B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3908B4">
              <w:rPr>
                <w:sz w:val="22"/>
                <w:szCs w:val="22"/>
              </w:rPr>
              <w:t>05,4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6352,,0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485E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85EA4">
              <w:rPr>
                <w:sz w:val="22"/>
                <w:szCs w:val="22"/>
              </w:rPr>
              <w:t>1053,4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485EA4">
            <w:pPr>
              <w:tabs>
                <w:tab w:val="left" w:pos="459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-14,</w:t>
            </w:r>
            <w:r w:rsidR="00485EA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5820,6</w:t>
            </w:r>
          </w:p>
        </w:tc>
      </w:tr>
      <w:tr w:rsidR="00F0508A" w:rsidRPr="00926F2B" w:rsidTr="00820C60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3908B4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391,8</w:t>
            </w:r>
          </w:p>
        </w:tc>
      </w:tr>
      <w:tr w:rsidR="00F0508A" w:rsidRPr="00926F2B" w:rsidTr="00820C60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522,6</w:t>
            </w:r>
          </w:p>
        </w:tc>
      </w:tr>
      <w:tr w:rsidR="00F0508A" w:rsidRPr="00926F2B" w:rsidTr="00820C60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485EA4" w:rsidP="00485E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  <w:r w:rsidR="00F0508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485E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</w:t>
            </w:r>
            <w:r w:rsidR="00485EA4">
              <w:rPr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485EA4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</w:t>
            </w:r>
            <w:r w:rsidR="00485EA4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331,2</w:t>
            </w:r>
          </w:p>
        </w:tc>
      </w:tr>
      <w:tr w:rsidR="00F0508A" w:rsidRPr="00926F2B" w:rsidTr="00820C60">
        <w:trPr>
          <w:trHeight w:val="5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F0508A" w:rsidRPr="00926F2B" w:rsidTr="00820C60">
        <w:trPr>
          <w:trHeight w:val="7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219,3</w:t>
            </w:r>
          </w:p>
        </w:tc>
      </w:tr>
      <w:tr w:rsidR="00F0508A" w:rsidRPr="00926F2B" w:rsidTr="00820C60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tabs>
                <w:tab w:val="left" w:pos="601"/>
              </w:tabs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423,6</w:t>
            </w:r>
          </w:p>
        </w:tc>
      </w:tr>
      <w:tr w:rsidR="00F0508A" w:rsidRPr="00926F2B" w:rsidTr="00820C60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ВСЕГО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385E77" w:rsidRDefault="00F0508A" w:rsidP="00820C60">
            <w:pPr>
              <w:ind w:left="-108" w:right="-108"/>
              <w:jc w:val="center"/>
            </w:pPr>
            <w:r w:rsidRPr="00385E77">
              <w:t>11168,6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576E33" w:rsidRDefault="00F0508A" w:rsidP="00820C60">
            <w:pPr>
              <w:ind w:left="-108" w:right="-108"/>
              <w:jc w:val="center"/>
            </w:pPr>
            <w:r>
              <w:t>15108,6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-3451,1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9476,6</w:t>
            </w:r>
          </w:p>
        </w:tc>
      </w:tr>
      <w:tr w:rsidR="00F0508A" w:rsidRPr="00926F2B" w:rsidTr="00820C60">
        <w:trPr>
          <w:trHeight w:val="5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A" w:rsidRPr="00926F2B" w:rsidRDefault="00F0508A" w:rsidP="00820C60">
            <w:pPr>
              <w:ind w:left="-108" w:right="-108"/>
              <w:rPr>
                <w:sz w:val="22"/>
                <w:szCs w:val="22"/>
              </w:rPr>
            </w:pPr>
            <w:r w:rsidRPr="00926F2B">
              <w:rPr>
                <w:sz w:val="22"/>
                <w:szCs w:val="22"/>
              </w:rPr>
              <w:t>В т. ч. на социально-культурную сферу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7112,7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  <w:p w:rsidR="00F0508A" w:rsidRPr="00926F2B" w:rsidRDefault="00F0508A" w:rsidP="00485EA4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DD65A3">
              <w:rPr>
                <w:sz w:val="22"/>
                <w:szCs w:val="22"/>
              </w:rPr>
              <w:t>85</w:t>
            </w:r>
            <w:r w:rsidR="00485EA4">
              <w:rPr>
                <w:sz w:val="22"/>
                <w:szCs w:val="22"/>
              </w:rPr>
              <w:t>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39" w:right="-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485E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-87</w:t>
            </w:r>
            <w:r w:rsidR="00485EA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485EA4">
              <w:rPr>
                <w:sz w:val="22"/>
                <w:szCs w:val="22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tabs>
                <w:tab w:val="left" w:pos="60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A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0508A" w:rsidRPr="00926F2B" w:rsidRDefault="00F0508A" w:rsidP="00820C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7066,2</w:t>
            </w:r>
          </w:p>
        </w:tc>
      </w:tr>
    </w:tbl>
    <w:p w:rsidR="00F0508A" w:rsidRPr="00926F2B" w:rsidRDefault="00F0508A" w:rsidP="00F0508A">
      <w:pPr>
        <w:jc w:val="both"/>
        <w:rPr>
          <w:sz w:val="22"/>
          <w:szCs w:val="22"/>
          <w:highlight w:val="yellow"/>
        </w:rPr>
      </w:pPr>
    </w:p>
    <w:p w:rsidR="00F0508A" w:rsidRDefault="00F0508A" w:rsidP="00F0508A">
      <w:pPr>
        <w:ind w:firstLine="567"/>
        <w:rPr>
          <w:sz w:val="28"/>
          <w:szCs w:val="28"/>
        </w:rPr>
      </w:pPr>
    </w:p>
    <w:p w:rsidR="00F0508A" w:rsidRDefault="00F0508A" w:rsidP="00F0508A">
      <w:pPr>
        <w:ind w:firstLine="567"/>
        <w:rPr>
          <w:sz w:val="28"/>
          <w:szCs w:val="28"/>
        </w:rPr>
      </w:pPr>
    </w:p>
    <w:p w:rsidR="00F0508A" w:rsidRDefault="00F0508A" w:rsidP="00F0508A">
      <w:pPr>
        <w:ind w:firstLine="567"/>
        <w:rPr>
          <w:sz w:val="28"/>
          <w:szCs w:val="28"/>
        </w:rPr>
      </w:pPr>
    </w:p>
    <w:p w:rsidR="00F0508A" w:rsidRDefault="00F0508A" w:rsidP="00F0508A">
      <w:pPr>
        <w:ind w:firstLine="567"/>
        <w:rPr>
          <w:sz w:val="28"/>
          <w:szCs w:val="28"/>
        </w:rPr>
      </w:pPr>
    </w:p>
    <w:p w:rsidR="00F0508A" w:rsidRDefault="00F0508A" w:rsidP="00F0508A">
      <w:pPr>
        <w:ind w:firstLine="567"/>
        <w:rPr>
          <w:sz w:val="28"/>
          <w:szCs w:val="28"/>
        </w:rPr>
      </w:pPr>
    </w:p>
    <w:p w:rsidR="00F0508A" w:rsidRDefault="00F0508A" w:rsidP="00F0508A">
      <w:pPr>
        <w:ind w:firstLine="567"/>
        <w:rPr>
          <w:sz w:val="28"/>
          <w:szCs w:val="28"/>
        </w:rPr>
      </w:pPr>
    </w:p>
    <w:p w:rsidR="00F0508A" w:rsidRDefault="00F0508A" w:rsidP="00F0508A">
      <w:pPr>
        <w:ind w:firstLine="567"/>
        <w:rPr>
          <w:sz w:val="28"/>
          <w:szCs w:val="28"/>
        </w:rPr>
      </w:pPr>
    </w:p>
    <w:p w:rsidR="00F0508A" w:rsidRDefault="00F0508A" w:rsidP="00F0508A">
      <w:pPr>
        <w:ind w:firstLine="567"/>
        <w:rPr>
          <w:sz w:val="28"/>
          <w:szCs w:val="28"/>
        </w:rPr>
      </w:pPr>
    </w:p>
    <w:p w:rsidR="00F0508A" w:rsidRDefault="00F0508A" w:rsidP="00F0508A">
      <w:pPr>
        <w:ind w:firstLine="567"/>
        <w:rPr>
          <w:sz w:val="28"/>
          <w:szCs w:val="28"/>
        </w:rPr>
      </w:pPr>
    </w:p>
    <w:p w:rsidR="00F0508A" w:rsidRDefault="00F0508A" w:rsidP="00F0508A">
      <w:pPr>
        <w:ind w:firstLine="567"/>
        <w:rPr>
          <w:sz w:val="28"/>
          <w:szCs w:val="28"/>
        </w:rPr>
      </w:pPr>
    </w:p>
    <w:p w:rsidR="00F0508A" w:rsidRDefault="00F0508A" w:rsidP="00F0508A">
      <w:pPr>
        <w:ind w:firstLine="567"/>
        <w:rPr>
          <w:sz w:val="28"/>
          <w:szCs w:val="28"/>
        </w:rPr>
      </w:pPr>
    </w:p>
    <w:p w:rsidR="00F0508A" w:rsidRDefault="00F0508A" w:rsidP="00F0508A">
      <w:pPr>
        <w:ind w:firstLine="567"/>
        <w:rPr>
          <w:sz w:val="28"/>
          <w:szCs w:val="28"/>
        </w:rPr>
      </w:pPr>
    </w:p>
    <w:p w:rsidR="00F0508A" w:rsidRDefault="00F0508A" w:rsidP="00F0508A">
      <w:pPr>
        <w:ind w:firstLine="567"/>
        <w:rPr>
          <w:sz w:val="28"/>
          <w:szCs w:val="28"/>
        </w:rPr>
      </w:pPr>
    </w:p>
    <w:p w:rsidR="00F0508A" w:rsidRPr="00926F2B" w:rsidRDefault="00F0508A" w:rsidP="00F0508A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расходов  2020</w:t>
      </w:r>
      <w:r w:rsidRPr="00926F2B">
        <w:rPr>
          <w:sz w:val="28"/>
          <w:szCs w:val="28"/>
        </w:rPr>
        <w:t xml:space="preserve"> года представлена следующей диаграммой.</w:t>
      </w:r>
    </w:p>
    <w:p w:rsidR="0086026A" w:rsidRDefault="00F0508A" w:rsidP="00F0508A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     </w:t>
      </w:r>
    </w:p>
    <w:p w:rsidR="00F0508A" w:rsidRPr="00926F2B" w:rsidRDefault="00F0508A" w:rsidP="00F0508A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4D4FA68" wp14:editId="59974178">
            <wp:extent cx="5943600" cy="62103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</w:p>
    <w:p w:rsidR="00F0508A" w:rsidRPr="00926F2B" w:rsidRDefault="00F0508A" w:rsidP="00F0508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бюджета города по расходам на 2020</w:t>
      </w:r>
      <w:r w:rsidRPr="00926F2B">
        <w:rPr>
          <w:sz w:val="28"/>
          <w:szCs w:val="28"/>
        </w:rPr>
        <w:t xml:space="preserve"> год по сравнению с первоначально утвержденным бюджетом на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 </w:t>
      </w:r>
      <w:r>
        <w:rPr>
          <w:sz w:val="28"/>
          <w:szCs w:val="28"/>
        </w:rPr>
        <w:t>увеличен</w:t>
      </w:r>
      <w:r w:rsidRPr="00926F2B">
        <w:rPr>
          <w:sz w:val="28"/>
          <w:szCs w:val="28"/>
        </w:rPr>
        <w:t xml:space="preserve"> на </w:t>
      </w:r>
      <w:r>
        <w:rPr>
          <w:sz w:val="28"/>
          <w:szCs w:val="28"/>
        </w:rPr>
        <w:t>488,9</w:t>
      </w:r>
      <w:r w:rsidRPr="00926F2B">
        <w:rPr>
          <w:sz w:val="28"/>
          <w:szCs w:val="28"/>
        </w:rPr>
        <w:t xml:space="preserve"> млн. руб. (или на</w:t>
      </w:r>
      <w:r>
        <w:rPr>
          <w:sz w:val="28"/>
          <w:szCs w:val="28"/>
        </w:rPr>
        <w:t xml:space="preserve"> 4,4</w:t>
      </w:r>
      <w:r w:rsidRPr="00926F2B">
        <w:rPr>
          <w:sz w:val="28"/>
          <w:szCs w:val="28"/>
        </w:rPr>
        <w:t xml:space="preserve">%), </w:t>
      </w:r>
      <w:r>
        <w:rPr>
          <w:sz w:val="28"/>
          <w:szCs w:val="28"/>
        </w:rPr>
        <w:t xml:space="preserve"> увеличены</w:t>
      </w:r>
      <w:r w:rsidRPr="00926F2B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на социально-культурную сферу:  социальную политику на 254,4 млн. руб., физическую культуру и спорт на 130,7 млн. руб., культуру и кинематографию  на 46,6 млн. руб., образование на 109,3 млн. руб., при этом уменьшены расходы</w:t>
      </w:r>
      <w:proofErr w:type="gramEnd"/>
      <w:r>
        <w:rPr>
          <w:sz w:val="28"/>
          <w:szCs w:val="28"/>
        </w:rPr>
        <w:t xml:space="preserve">  </w:t>
      </w:r>
      <w:r w:rsidRPr="00926F2B">
        <w:rPr>
          <w:sz w:val="28"/>
          <w:szCs w:val="28"/>
        </w:rPr>
        <w:t xml:space="preserve">по разделу  «Национальная экономика»  на </w:t>
      </w:r>
      <w:r>
        <w:rPr>
          <w:sz w:val="28"/>
          <w:szCs w:val="28"/>
        </w:rPr>
        <w:t xml:space="preserve">159,1 </w:t>
      </w:r>
      <w:r w:rsidRPr="00926F2B">
        <w:rPr>
          <w:sz w:val="28"/>
          <w:szCs w:val="28"/>
        </w:rPr>
        <w:t xml:space="preserve">млн. руб. (или </w:t>
      </w:r>
      <w:r>
        <w:rPr>
          <w:sz w:val="28"/>
          <w:szCs w:val="28"/>
        </w:rPr>
        <w:t>на 7,2%</w:t>
      </w:r>
      <w:r w:rsidRPr="00926F2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508A" w:rsidRPr="00926F2B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При </w:t>
      </w:r>
      <w:r>
        <w:rPr>
          <w:sz w:val="28"/>
          <w:szCs w:val="28"/>
        </w:rPr>
        <w:t>сравнении проекта бюджета на 2020</w:t>
      </w:r>
      <w:r w:rsidRPr="00926F2B">
        <w:rPr>
          <w:sz w:val="28"/>
          <w:szCs w:val="28"/>
        </w:rPr>
        <w:t xml:space="preserve"> год с уточненным бюджетом на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 отмечается сокращение расходов на </w:t>
      </w:r>
      <w:r>
        <w:rPr>
          <w:sz w:val="28"/>
          <w:szCs w:val="28"/>
        </w:rPr>
        <w:t>3451,1</w:t>
      </w:r>
      <w:r w:rsidRPr="00926F2B">
        <w:rPr>
          <w:sz w:val="28"/>
          <w:szCs w:val="28"/>
        </w:rPr>
        <w:t xml:space="preserve"> млн. руб. (или на </w:t>
      </w:r>
      <w:r>
        <w:rPr>
          <w:sz w:val="28"/>
          <w:szCs w:val="28"/>
        </w:rPr>
        <w:t>22,8</w:t>
      </w:r>
      <w:r w:rsidRPr="00926F2B">
        <w:rPr>
          <w:sz w:val="28"/>
          <w:szCs w:val="28"/>
        </w:rPr>
        <w:t>%).  Отклонение расходов  в сторону уменьшения от уточненного бюджета на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 наблюдается ежегодно на момент </w:t>
      </w:r>
      <w:r>
        <w:rPr>
          <w:sz w:val="28"/>
          <w:szCs w:val="28"/>
        </w:rPr>
        <w:t>первоначального</w:t>
      </w:r>
      <w:r w:rsidRPr="00926F2B">
        <w:rPr>
          <w:sz w:val="28"/>
          <w:szCs w:val="28"/>
        </w:rPr>
        <w:t xml:space="preserve"> рассмотрения </w:t>
      </w:r>
      <w:proofErr w:type="gramStart"/>
      <w:r w:rsidRPr="00926F2B">
        <w:rPr>
          <w:sz w:val="28"/>
          <w:szCs w:val="28"/>
        </w:rPr>
        <w:t>бюджета</w:t>
      </w:r>
      <w:proofErr w:type="gramEnd"/>
      <w:r w:rsidRPr="00926F2B">
        <w:rPr>
          <w:sz w:val="28"/>
          <w:szCs w:val="28"/>
        </w:rPr>
        <w:t xml:space="preserve"> на очередной  финансовый год</w:t>
      </w:r>
      <w:r>
        <w:rPr>
          <w:sz w:val="28"/>
          <w:szCs w:val="28"/>
        </w:rPr>
        <w:t xml:space="preserve">, что  </w:t>
      </w:r>
      <w:r w:rsidRPr="00926F2B">
        <w:rPr>
          <w:sz w:val="28"/>
          <w:szCs w:val="28"/>
        </w:rPr>
        <w:t xml:space="preserve">связано с </w:t>
      </w:r>
      <w:r w:rsidRPr="00926F2B">
        <w:rPr>
          <w:sz w:val="28"/>
          <w:szCs w:val="28"/>
        </w:rPr>
        <w:lastRenderedPageBreak/>
        <w:t xml:space="preserve">выделением межбюджетных трансфертов из бюджетов других уровней </w:t>
      </w:r>
      <w:r>
        <w:rPr>
          <w:sz w:val="28"/>
          <w:szCs w:val="28"/>
        </w:rPr>
        <w:t>в</w:t>
      </w:r>
      <w:r w:rsidRPr="00926F2B">
        <w:rPr>
          <w:sz w:val="28"/>
          <w:szCs w:val="28"/>
        </w:rPr>
        <w:t xml:space="preserve"> ходе исполнения бюджета в очередном году. </w:t>
      </w:r>
    </w:p>
    <w:p w:rsidR="00F0508A" w:rsidRPr="00926F2B" w:rsidRDefault="00F0508A" w:rsidP="00F0508A">
      <w:pPr>
        <w:ind w:firstLine="708"/>
        <w:jc w:val="both"/>
        <w:rPr>
          <w:sz w:val="28"/>
          <w:szCs w:val="28"/>
        </w:rPr>
      </w:pPr>
      <w:r w:rsidRPr="00C04A91">
        <w:rPr>
          <w:sz w:val="28"/>
          <w:szCs w:val="28"/>
        </w:rPr>
        <w:t>В бюджете города на 2020 год  и на плановый период 2021 и 2022 годов сохранены социальные приоритеты. Доля средств направляемых в социально-культурную сферу в общем объеме расходов в 2020 году составит 65,7%</w:t>
      </w:r>
      <w:r>
        <w:rPr>
          <w:sz w:val="28"/>
          <w:szCs w:val="28"/>
        </w:rPr>
        <w:t xml:space="preserve"> процентов.</w:t>
      </w:r>
    </w:p>
    <w:p w:rsidR="00F0508A" w:rsidRPr="00926F2B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разрезе разделов</w:t>
      </w:r>
      <w:r w:rsidRPr="00926F2B">
        <w:rPr>
          <w:sz w:val="28"/>
          <w:szCs w:val="28"/>
        </w:rPr>
        <w:t xml:space="preserve"> функциональной  классификации расходы характеризуются следующим образом.</w:t>
      </w:r>
    </w:p>
    <w:p w:rsidR="00F0508A" w:rsidRDefault="00F0508A" w:rsidP="00F0508A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По разделу </w:t>
      </w:r>
      <w:r>
        <w:rPr>
          <w:sz w:val="28"/>
          <w:szCs w:val="28"/>
        </w:rPr>
        <w:t xml:space="preserve"> </w:t>
      </w:r>
      <w:r w:rsidRPr="009F051D">
        <w:rPr>
          <w:b/>
          <w:sz w:val="28"/>
          <w:szCs w:val="28"/>
        </w:rPr>
        <w:t>«О</w:t>
      </w:r>
      <w:r w:rsidRPr="00926F2B">
        <w:rPr>
          <w:b/>
          <w:sz w:val="28"/>
          <w:szCs w:val="28"/>
        </w:rPr>
        <w:t>бщегосударственные вопросы»</w:t>
      </w:r>
      <w:r>
        <w:rPr>
          <w:b/>
          <w:sz w:val="28"/>
          <w:szCs w:val="28"/>
        </w:rPr>
        <w:t xml:space="preserve"> </w:t>
      </w:r>
      <w:r w:rsidRPr="00926F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расходы,  планируемые на 2020</w:t>
      </w:r>
      <w:r w:rsidRPr="00926F2B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Pr="00926F2B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ю</w:t>
      </w:r>
      <w:r w:rsidRPr="00926F2B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первоначальным планом  2019 года увеличены на  79,3 млн. руб.  или на 11,8% и составляют  750,9 млн. рублей. 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объема расходов  связано с выделением ассигнований на проведение выборов депутатов Липецкого городского Совета депутатов в сумме 30,0 млн. руб., увеличением расходов на выплату грантов на реализацию общественно-полезных проектов в рамках конкурса «Липецкий дворик»  и оказание поддержки социально ориентированным некоммерческим организациям.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сокращаются расходы на исполнение </w:t>
      </w:r>
      <w:r w:rsidRPr="00926F2B">
        <w:rPr>
          <w:sz w:val="28"/>
          <w:szCs w:val="28"/>
        </w:rPr>
        <w:t xml:space="preserve"> муниципальных гарантий по возможным гарантийным случаям</w:t>
      </w:r>
      <w:r>
        <w:rPr>
          <w:sz w:val="28"/>
          <w:szCs w:val="28"/>
        </w:rPr>
        <w:t xml:space="preserve">, с учетом потребности в ассигнованиях по выплате процентов и основной суммы  долга МУП «Липецкая </w:t>
      </w:r>
      <w:r w:rsidRPr="00926F2B">
        <w:rPr>
          <w:sz w:val="28"/>
          <w:szCs w:val="28"/>
        </w:rPr>
        <w:t>станция аэрации»</w:t>
      </w:r>
      <w:r>
        <w:rPr>
          <w:sz w:val="28"/>
          <w:szCs w:val="28"/>
        </w:rPr>
        <w:t xml:space="preserve"> на 6,2 млн. рублей.  В  2020 году на данные цели планируется направить 60,4 млн. руб., в 2021 году – 14,1 млн. рублей.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разделу отражена часть дотации из областного бюджета в сумме 32,0 млн. руб., которая будет доведена до главных распорядителей в процессе исполнения бюджета с учетом фактической потребности для достижения установленного уровня МРОТ. </w:t>
      </w:r>
    </w:p>
    <w:p w:rsidR="00F0508A" w:rsidRPr="008605D9" w:rsidRDefault="00F0508A" w:rsidP="00F0508A">
      <w:pPr>
        <w:ind w:firstLine="709"/>
        <w:jc w:val="both"/>
        <w:rPr>
          <w:i/>
          <w:sz w:val="28"/>
          <w:szCs w:val="28"/>
        </w:rPr>
      </w:pPr>
      <w:r w:rsidRPr="008605D9">
        <w:rPr>
          <w:i/>
          <w:sz w:val="28"/>
          <w:szCs w:val="28"/>
        </w:rPr>
        <w:t>В проекте бюджета на 2020 год не предусмотрено повышение  оплаты труда лицам, замещающим должности муниципальной службы города Липецка</w:t>
      </w:r>
      <w:r w:rsidR="00DA1EF5">
        <w:rPr>
          <w:i/>
          <w:sz w:val="28"/>
          <w:szCs w:val="28"/>
        </w:rPr>
        <w:t xml:space="preserve"> и денежного вознаграждения лицам, замещающим муниципальные должности города Липецка</w:t>
      </w:r>
      <w:r w:rsidRPr="008605D9">
        <w:rPr>
          <w:i/>
          <w:sz w:val="28"/>
          <w:szCs w:val="28"/>
        </w:rPr>
        <w:t xml:space="preserve">.  </w:t>
      </w:r>
    </w:p>
    <w:p w:rsidR="00F0508A" w:rsidRPr="008605D9" w:rsidRDefault="00F0508A" w:rsidP="00F0508A">
      <w:pPr>
        <w:ind w:firstLine="709"/>
        <w:jc w:val="both"/>
        <w:rPr>
          <w:i/>
          <w:sz w:val="28"/>
          <w:szCs w:val="28"/>
        </w:rPr>
      </w:pPr>
      <w:r w:rsidRPr="008605D9">
        <w:rPr>
          <w:i/>
          <w:sz w:val="28"/>
          <w:szCs w:val="28"/>
        </w:rPr>
        <w:t>В то же время, в соответствии с Распоряжением Правительства РФ от 13.03.2019 № 415-р оплата труда работников федеральных государственных органов  увеличена с 1 октября 2019 года на 4,3 процента.  Аналогично, размеры должностных окладов и окладов за классный чин государственных гражданских служащих Липецкой области, размеры ежемесячного денежного вознаграждения лиц, замещающих государственные должности Липецкой области,  повышаются в 1,043 раза с 1 января 2020 года.</w:t>
      </w:r>
    </w:p>
    <w:p w:rsidR="00F0508A" w:rsidRPr="008605D9" w:rsidRDefault="00F0508A" w:rsidP="00F0508A">
      <w:pPr>
        <w:ind w:firstLine="709"/>
        <w:jc w:val="both"/>
        <w:rPr>
          <w:i/>
          <w:sz w:val="28"/>
          <w:szCs w:val="28"/>
        </w:rPr>
      </w:pPr>
      <w:r w:rsidRPr="008605D9">
        <w:rPr>
          <w:i/>
          <w:sz w:val="28"/>
          <w:szCs w:val="28"/>
        </w:rPr>
        <w:t xml:space="preserve">Вместе с тем, статьей 5 Федерального закона от 02.03.2007 № 25-ФЗ «О муниципальной службе в Российской Федерации» установлена взаимосвязь муниципальной службы и государственной гражданской службы РФ посредством  соотносительности основных условий оплаты труда и социальных гарантий  муниципальных служащих и государственных гражданских служащих. </w:t>
      </w:r>
    </w:p>
    <w:p w:rsidR="00F0508A" w:rsidRPr="00D74518" w:rsidRDefault="00F0508A" w:rsidP="00F0508A">
      <w:pPr>
        <w:ind w:firstLine="709"/>
        <w:jc w:val="both"/>
        <w:rPr>
          <w:sz w:val="28"/>
          <w:szCs w:val="28"/>
        </w:rPr>
      </w:pPr>
      <w:r w:rsidRPr="00D74518">
        <w:rPr>
          <w:sz w:val="28"/>
          <w:szCs w:val="28"/>
        </w:rPr>
        <w:lastRenderedPageBreak/>
        <w:t xml:space="preserve">Здесь надо отметить, что </w:t>
      </w:r>
      <w:r>
        <w:rPr>
          <w:sz w:val="28"/>
          <w:szCs w:val="28"/>
        </w:rPr>
        <w:t xml:space="preserve">муниципальным образованием город Липецк </w:t>
      </w:r>
      <w:r w:rsidR="0018684A">
        <w:rPr>
          <w:sz w:val="28"/>
          <w:szCs w:val="28"/>
        </w:rPr>
        <w:t>по итогам 2018 года</w:t>
      </w:r>
      <w:r w:rsidRPr="00D74518">
        <w:rPr>
          <w:sz w:val="28"/>
          <w:szCs w:val="28"/>
        </w:rPr>
        <w:t xml:space="preserve"> </w:t>
      </w:r>
      <w:r w:rsidR="0018684A">
        <w:rPr>
          <w:sz w:val="28"/>
          <w:szCs w:val="28"/>
        </w:rPr>
        <w:t xml:space="preserve">допущено </w:t>
      </w:r>
      <w:r w:rsidRPr="00D74518">
        <w:rPr>
          <w:sz w:val="28"/>
          <w:szCs w:val="28"/>
        </w:rPr>
        <w:t xml:space="preserve">превышение доведенного норматива на оплату труда </w:t>
      </w:r>
      <w:r w:rsidRPr="00D74518">
        <w:rPr>
          <w:sz w:val="28"/>
          <w:szCs w:val="28"/>
          <w:shd w:val="clear" w:color="auto" w:fill="FFFFFF"/>
        </w:rPr>
        <w:t>депутатов, выборных должностных лиц местного самоуправления, осуществляющих свои полномочия на постоянной основе</w:t>
      </w:r>
      <w:r>
        <w:rPr>
          <w:sz w:val="28"/>
          <w:szCs w:val="28"/>
          <w:shd w:val="clear" w:color="auto" w:fill="FFFFFF"/>
        </w:rPr>
        <w:t xml:space="preserve"> и</w:t>
      </w:r>
      <w:r w:rsidRPr="00D74518">
        <w:rPr>
          <w:sz w:val="28"/>
          <w:szCs w:val="28"/>
          <w:shd w:val="clear" w:color="auto" w:fill="FFFFFF"/>
        </w:rPr>
        <w:t xml:space="preserve"> муниципальных служащих. При этом отмеча</w:t>
      </w:r>
      <w:r>
        <w:rPr>
          <w:sz w:val="28"/>
          <w:szCs w:val="28"/>
          <w:shd w:val="clear" w:color="auto" w:fill="FFFFFF"/>
        </w:rPr>
        <w:t>ется</w:t>
      </w:r>
      <w:r w:rsidRPr="00D74518">
        <w:rPr>
          <w:sz w:val="28"/>
          <w:szCs w:val="28"/>
          <w:shd w:val="clear" w:color="auto" w:fill="FFFFFF"/>
        </w:rPr>
        <w:t xml:space="preserve">, что норматив был сформирован  </w:t>
      </w:r>
      <w:r>
        <w:rPr>
          <w:sz w:val="28"/>
          <w:szCs w:val="28"/>
          <w:shd w:val="clear" w:color="auto" w:fill="FFFFFF"/>
        </w:rPr>
        <w:t xml:space="preserve">исполнительным органом Липецкой области </w:t>
      </w:r>
      <w:r w:rsidRPr="00D74518">
        <w:rPr>
          <w:sz w:val="28"/>
          <w:szCs w:val="28"/>
          <w:shd w:val="clear" w:color="auto" w:fill="FFFFFF"/>
        </w:rPr>
        <w:t xml:space="preserve">в разрез </w:t>
      </w:r>
      <w:r w:rsidRPr="00D74518">
        <w:rPr>
          <w:sz w:val="28"/>
          <w:szCs w:val="28"/>
        </w:rPr>
        <w:t xml:space="preserve">статьи 86 БК РФ и </w:t>
      </w:r>
      <w:r w:rsidRPr="00D74518">
        <w:rPr>
          <w:sz w:val="28"/>
          <w:szCs w:val="28"/>
          <w:shd w:val="clear" w:color="auto" w:fill="FFFFFF"/>
        </w:rPr>
        <w:t xml:space="preserve"> </w:t>
      </w:r>
      <w:r w:rsidRPr="00D74518">
        <w:rPr>
          <w:sz w:val="28"/>
          <w:szCs w:val="28"/>
        </w:rPr>
        <w:t>статьи 17 Федерального закона от 06.10.2003 №131-ФЗ.</w:t>
      </w:r>
    </w:p>
    <w:p w:rsidR="00F0508A" w:rsidRDefault="00F0508A" w:rsidP="00F0508A">
      <w:pPr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6F2B">
        <w:rPr>
          <w:sz w:val="28"/>
          <w:szCs w:val="28"/>
        </w:rPr>
        <w:t>Объем средств, предусмотренный в бюджете города на 20</w:t>
      </w:r>
      <w:r>
        <w:rPr>
          <w:sz w:val="28"/>
          <w:szCs w:val="28"/>
        </w:rPr>
        <w:t>20</w:t>
      </w:r>
      <w:r w:rsidRPr="00926F2B">
        <w:rPr>
          <w:sz w:val="28"/>
          <w:szCs w:val="28"/>
        </w:rPr>
        <w:t xml:space="preserve"> год по разделу</w:t>
      </w:r>
      <w:r>
        <w:rPr>
          <w:b/>
          <w:bCs/>
          <w:sz w:val="28"/>
          <w:szCs w:val="28"/>
        </w:rPr>
        <w:t xml:space="preserve"> </w:t>
      </w:r>
      <w:r w:rsidRPr="00926F2B">
        <w:rPr>
          <w:b/>
          <w:bCs/>
          <w:sz w:val="28"/>
          <w:szCs w:val="28"/>
        </w:rPr>
        <w:t>«Национальная безопасность и правоохранительная деятельность»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планируется на уровне текущего года – 88,2 млн. рублей.  По сравнению с первоначальным планом на 2019 год расходы на реализацию мероприятий программы увеличены на 9,9 млн. руб., что в основном связано с выделением ассигнований на содержание камер видеонаблюдения, переданных из администрации Липецкой области в течение 2019 года.</w:t>
      </w:r>
    </w:p>
    <w:p w:rsidR="00F0508A" w:rsidRDefault="00F0508A" w:rsidP="00F0508A">
      <w:pPr>
        <w:tabs>
          <w:tab w:val="left" w:pos="18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26F2B">
        <w:rPr>
          <w:sz w:val="28"/>
          <w:szCs w:val="28"/>
        </w:rPr>
        <w:t>В рамках реализации муниципальной программы «</w:t>
      </w:r>
      <w:r w:rsidRPr="00926F2B">
        <w:rPr>
          <w:rFonts w:eastAsiaTheme="minorHAnsi"/>
          <w:sz w:val="28"/>
          <w:szCs w:val="28"/>
          <w:lang w:eastAsia="en-US"/>
        </w:rPr>
        <w:t xml:space="preserve">Защита населения и территории города Липецка от чрезвычайных ситуаций природного и техногенного характера, обеспечение безопасного проживания граждан»  </w:t>
      </w:r>
      <w:r w:rsidRPr="00926F2B">
        <w:rPr>
          <w:sz w:val="28"/>
          <w:szCs w:val="28"/>
        </w:rPr>
        <w:t xml:space="preserve">планируются средства в сумме </w:t>
      </w:r>
      <w:r>
        <w:rPr>
          <w:sz w:val="28"/>
          <w:szCs w:val="28"/>
        </w:rPr>
        <w:t>54,6</w:t>
      </w:r>
      <w:r w:rsidRPr="00926F2B">
        <w:rPr>
          <w:sz w:val="28"/>
          <w:szCs w:val="28"/>
        </w:rPr>
        <w:t xml:space="preserve">  млн. руб.</w:t>
      </w:r>
      <w:r w:rsidR="00485EA4">
        <w:rPr>
          <w:sz w:val="28"/>
          <w:szCs w:val="28"/>
        </w:rPr>
        <w:t xml:space="preserve">, в </w:t>
      </w:r>
      <w:proofErr w:type="spellStart"/>
      <w:r w:rsidR="00485EA4">
        <w:rPr>
          <w:sz w:val="28"/>
          <w:szCs w:val="28"/>
        </w:rPr>
        <w:t>т.ч</w:t>
      </w:r>
      <w:proofErr w:type="spellEnd"/>
      <w:r w:rsidR="00485EA4">
        <w:rPr>
          <w:sz w:val="28"/>
          <w:szCs w:val="28"/>
        </w:rPr>
        <w:t>.</w:t>
      </w:r>
      <w:r w:rsidRPr="00926F2B">
        <w:rPr>
          <w:sz w:val="28"/>
          <w:szCs w:val="28"/>
        </w:rPr>
        <w:t xml:space="preserve">  на финансовое обеспечение деятельности МКУ «Управление по делам ГО и ЧС города Липецка»</w:t>
      </w:r>
      <w:r>
        <w:rPr>
          <w:sz w:val="28"/>
          <w:szCs w:val="28"/>
        </w:rPr>
        <w:t xml:space="preserve"> (43,0 млн. руб.)</w:t>
      </w:r>
      <w:r w:rsidRPr="00926F2B">
        <w:rPr>
          <w:sz w:val="28"/>
          <w:szCs w:val="28"/>
        </w:rPr>
        <w:t>,  проведение мероприятий по организации работы аппаратно-программного комплекса «Безопасный город»</w:t>
      </w:r>
      <w:r>
        <w:rPr>
          <w:sz w:val="28"/>
          <w:szCs w:val="28"/>
        </w:rPr>
        <w:t xml:space="preserve"> (9,8 млн. руб</w:t>
      </w:r>
      <w:proofErr w:type="gramEnd"/>
      <w:r>
        <w:rPr>
          <w:sz w:val="28"/>
          <w:szCs w:val="28"/>
        </w:rPr>
        <w:t>.)</w:t>
      </w:r>
      <w:r w:rsidRPr="00926F2B">
        <w:rPr>
          <w:sz w:val="28"/>
          <w:szCs w:val="28"/>
        </w:rPr>
        <w:t xml:space="preserve">, на обеспечение безопасности людей на водных объектах </w:t>
      </w:r>
      <w:r>
        <w:rPr>
          <w:sz w:val="28"/>
          <w:szCs w:val="28"/>
        </w:rPr>
        <w:t xml:space="preserve">и </w:t>
      </w:r>
      <w:r w:rsidRPr="00926F2B">
        <w:rPr>
          <w:sz w:val="28"/>
          <w:szCs w:val="28"/>
        </w:rPr>
        <w:t>первичных мер пожарной безопасности на территории города Липецка</w:t>
      </w:r>
      <w:r>
        <w:rPr>
          <w:sz w:val="28"/>
          <w:szCs w:val="28"/>
        </w:rPr>
        <w:t xml:space="preserve"> (1,8 млн. руб.)</w:t>
      </w:r>
      <w:r w:rsidRPr="00926F2B">
        <w:rPr>
          <w:sz w:val="28"/>
          <w:szCs w:val="28"/>
        </w:rPr>
        <w:t>.</w:t>
      </w:r>
    </w:p>
    <w:p w:rsidR="00F0508A" w:rsidRDefault="00F0508A" w:rsidP="00F05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6F2B">
        <w:rPr>
          <w:sz w:val="28"/>
          <w:szCs w:val="28"/>
        </w:rPr>
        <w:t xml:space="preserve">В рамках непрограммных мероприятий предусмотрено содержание управления ЗАГС в сумме </w:t>
      </w:r>
      <w:r>
        <w:rPr>
          <w:sz w:val="28"/>
          <w:szCs w:val="28"/>
        </w:rPr>
        <w:t>33,6</w:t>
      </w:r>
      <w:r w:rsidRPr="00926F2B">
        <w:rPr>
          <w:sz w:val="28"/>
          <w:szCs w:val="28"/>
        </w:rPr>
        <w:t xml:space="preserve"> млн. руб., из  которых  </w:t>
      </w:r>
      <w:r>
        <w:rPr>
          <w:sz w:val="28"/>
          <w:szCs w:val="28"/>
        </w:rPr>
        <w:t xml:space="preserve">30,7 </w:t>
      </w:r>
      <w:r w:rsidRPr="00926F2B">
        <w:rPr>
          <w:sz w:val="28"/>
          <w:szCs w:val="28"/>
        </w:rPr>
        <w:t xml:space="preserve"> млн. руб.   субвенции из областного и федерального бюджетов и 2,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млн. руб. – средства городского бюджета.</w:t>
      </w:r>
    </w:p>
    <w:p w:rsidR="00F0508A" w:rsidRDefault="00F0508A" w:rsidP="00F05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508A" w:rsidRDefault="00F0508A" w:rsidP="00F05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 Расходы по разделу  </w:t>
      </w:r>
      <w:r w:rsidRPr="00926F2B">
        <w:rPr>
          <w:b/>
          <w:sz w:val="28"/>
          <w:szCs w:val="28"/>
        </w:rPr>
        <w:t>«Национальная экономика</w:t>
      </w:r>
      <w:r w:rsidRPr="00926F2B">
        <w:rPr>
          <w:sz w:val="28"/>
          <w:szCs w:val="28"/>
        </w:rPr>
        <w:t>»  на 20</w:t>
      </w:r>
      <w:r>
        <w:rPr>
          <w:sz w:val="28"/>
          <w:szCs w:val="28"/>
        </w:rPr>
        <w:t>20</w:t>
      </w:r>
      <w:r w:rsidRPr="00926F2B">
        <w:rPr>
          <w:sz w:val="28"/>
          <w:szCs w:val="28"/>
        </w:rPr>
        <w:t xml:space="preserve"> год планируются в сумме </w:t>
      </w:r>
      <w:r>
        <w:rPr>
          <w:sz w:val="28"/>
          <w:szCs w:val="28"/>
        </w:rPr>
        <w:t>2064,9</w:t>
      </w:r>
      <w:r w:rsidRPr="00926F2B">
        <w:rPr>
          <w:sz w:val="28"/>
          <w:szCs w:val="28"/>
        </w:rPr>
        <w:t xml:space="preserve"> млн. рублей. Доля в общем объеме расходов </w:t>
      </w:r>
      <w:r>
        <w:rPr>
          <w:sz w:val="28"/>
          <w:szCs w:val="28"/>
        </w:rPr>
        <w:t>бюджета</w:t>
      </w:r>
      <w:r w:rsidRPr="00926F2B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17,7</w:t>
      </w:r>
      <w:r w:rsidRPr="00926F2B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926F2B">
        <w:rPr>
          <w:sz w:val="28"/>
          <w:szCs w:val="28"/>
        </w:rPr>
        <w:t>.</w:t>
      </w:r>
    </w:p>
    <w:p w:rsidR="00F0508A" w:rsidRDefault="00F0508A" w:rsidP="00F0508A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>Расходы предусмотрены в рамках следующих муниципальных программ:</w:t>
      </w:r>
    </w:p>
    <w:p w:rsidR="00F0508A" w:rsidRPr="00926F2B" w:rsidRDefault="00F0508A" w:rsidP="00F0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«Благоустройство территорий города Липецка» - 7,7 млн. руб.;</w:t>
      </w:r>
    </w:p>
    <w:p w:rsidR="00F0508A" w:rsidRPr="00926F2B" w:rsidRDefault="00F0508A" w:rsidP="00F0508A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«Развитие транспорта и дорожного хозяйства города Липецка» - </w:t>
      </w:r>
      <w:r>
        <w:rPr>
          <w:sz w:val="28"/>
          <w:szCs w:val="28"/>
        </w:rPr>
        <w:t>1944,3</w:t>
      </w:r>
      <w:r w:rsidRPr="00926F2B">
        <w:rPr>
          <w:sz w:val="28"/>
          <w:szCs w:val="28"/>
        </w:rPr>
        <w:t xml:space="preserve"> млн. руб.;</w:t>
      </w:r>
    </w:p>
    <w:p w:rsidR="00F0508A" w:rsidRPr="00926F2B" w:rsidRDefault="00F0508A" w:rsidP="00F0508A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«Развитие экономического потенциала города Липецка» - </w:t>
      </w:r>
      <w:r>
        <w:rPr>
          <w:sz w:val="28"/>
          <w:szCs w:val="28"/>
        </w:rPr>
        <w:t>24,8</w:t>
      </w:r>
      <w:r w:rsidRPr="00926F2B">
        <w:rPr>
          <w:sz w:val="28"/>
          <w:szCs w:val="28"/>
        </w:rPr>
        <w:t xml:space="preserve"> млн. руб.;</w:t>
      </w:r>
    </w:p>
    <w:p w:rsidR="00F0508A" w:rsidRPr="00926F2B" w:rsidRDefault="00F0508A" w:rsidP="00F0508A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«Градостроительная деятельность на территории города Липецка» - </w:t>
      </w:r>
      <w:r>
        <w:rPr>
          <w:sz w:val="28"/>
          <w:szCs w:val="28"/>
        </w:rPr>
        <w:t>81,2</w:t>
      </w:r>
      <w:r w:rsidRPr="00926F2B">
        <w:rPr>
          <w:sz w:val="28"/>
          <w:szCs w:val="28"/>
        </w:rPr>
        <w:t xml:space="preserve"> млн. руб.;</w:t>
      </w:r>
    </w:p>
    <w:p w:rsidR="00F0508A" w:rsidRPr="00926F2B" w:rsidRDefault="00F0508A" w:rsidP="00F0508A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- «Развитие культуры и туризма в городе Липецке» - </w:t>
      </w:r>
      <w:r>
        <w:rPr>
          <w:sz w:val="28"/>
          <w:szCs w:val="28"/>
        </w:rPr>
        <w:t>5,0</w:t>
      </w:r>
      <w:r w:rsidRPr="00926F2B">
        <w:rPr>
          <w:sz w:val="28"/>
          <w:szCs w:val="28"/>
        </w:rPr>
        <w:t xml:space="preserve"> млн. руб.;</w:t>
      </w:r>
    </w:p>
    <w:p w:rsidR="00F0508A" w:rsidRDefault="00F0508A" w:rsidP="00F0508A">
      <w:pPr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        - «Липецк – мы вместе!» - 0,1 млн. рублей.</w:t>
      </w:r>
    </w:p>
    <w:p w:rsidR="00F0508A" w:rsidRDefault="00F0508A" w:rsidP="00F050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508A" w:rsidRDefault="00F0508A" w:rsidP="00F050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  подразделу </w:t>
      </w:r>
      <w:r w:rsidRPr="00926F2B">
        <w:rPr>
          <w:b/>
          <w:i/>
          <w:sz w:val="28"/>
          <w:szCs w:val="28"/>
        </w:rPr>
        <w:t>«Транспорт»</w:t>
      </w:r>
      <w:r w:rsidRPr="00926F2B">
        <w:rPr>
          <w:sz w:val="28"/>
          <w:szCs w:val="28"/>
        </w:rPr>
        <w:t xml:space="preserve"> расходы составят </w:t>
      </w:r>
      <w:r>
        <w:rPr>
          <w:sz w:val="28"/>
          <w:szCs w:val="28"/>
        </w:rPr>
        <w:t>302,0</w:t>
      </w:r>
      <w:r w:rsidRPr="00926F2B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лей.</w:t>
      </w:r>
    </w:p>
    <w:p w:rsidR="00F0508A" w:rsidRDefault="00F0508A" w:rsidP="00F050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бюджета на 2020 год не предусмотрены средства на приобретение подвижного состава, а в связи с окончанием срока действия </w:t>
      </w:r>
      <w:r>
        <w:rPr>
          <w:sz w:val="28"/>
          <w:szCs w:val="28"/>
        </w:rPr>
        <w:lastRenderedPageBreak/>
        <w:t>договора лизинга не предусматриваются расходы на оплату лизинговых платежей по приобретению подвижного состава.</w:t>
      </w:r>
    </w:p>
    <w:p w:rsidR="00F0508A" w:rsidRDefault="00F0508A" w:rsidP="00F050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областным бюджетом приобретено 50 автобусов и  5 электробусов на общую сумму 477,5 млн. руб. (с учетом аванса 2018 года).   Кроме того, производится  возмещение части затрат перевозчиков, связанных с приобретением подвижного состава. По состоянию на 01.11.2019 года на эти цели направлено 120,0 млн. руб. из 182,1 млн. руб. </w:t>
      </w:r>
      <w:proofErr w:type="gramStart"/>
      <w:r>
        <w:rPr>
          <w:sz w:val="28"/>
          <w:szCs w:val="28"/>
        </w:rPr>
        <w:t>запланированных</w:t>
      </w:r>
      <w:proofErr w:type="gramEnd"/>
      <w:r>
        <w:rPr>
          <w:sz w:val="28"/>
          <w:szCs w:val="28"/>
        </w:rPr>
        <w:t>.</w:t>
      </w:r>
    </w:p>
    <w:p w:rsidR="00F0508A" w:rsidRDefault="00F0508A" w:rsidP="00F050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принятые меры  не привели к сокращению размера субсидий </w:t>
      </w:r>
      <w:r w:rsidRPr="00926F2B">
        <w:rPr>
          <w:sz w:val="28"/>
          <w:szCs w:val="28"/>
        </w:rPr>
        <w:t>на возмещение части затрат</w:t>
      </w:r>
      <w:r>
        <w:rPr>
          <w:sz w:val="28"/>
          <w:szCs w:val="28"/>
        </w:rPr>
        <w:t xml:space="preserve">, </w:t>
      </w:r>
      <w:r w:rsidRPr="00926F2B">
        <w:rPr>
          <w:sz w:val="28"/>
          <w:szCs w:val="28"/>
        </w:rPr>
        <w:t>связанных с осуществлением перевозок пассажиров автомобильным и городским наземным  электрическим транспортом по муниципальным  маршрутам</w:t>
      </w:r>
      <w:r>
        <w:rPr>
          <w:sz w:val="28"/>
          <w:szCs w:val="28"/>
        </w:rPr>
        <w:t>.</w:t>
      </w:r>
    </w:p>
    <w:p w:rsidR="00F0508A" w:rsidRDefault="00F0508A" w:rsidP="00F0508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2020 году </w:t>
      </w:r>
      <w:r w:rsidRPr="00926F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указанные цели предусмотрены субсидии в общей сумме 249 </w:t>
      </w:r>
      <w:r w:rsidRPr="00926F2B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>руб</w:t>
      </w:r>
      <w:r>
        <w:rPr>
          <w:sz w:val="28"/>
          <w:szCs w:val="28"/>
        </w:rPr>
        <w:t>лей.</w:t>
      </w:r>
      <w:r w:rsidRPr="005B056E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Первоначальный бюджет на 2019 год  предусматривал средства в объеме 240 млн. рублей.</w:t>
      </w:r>
    </w:p>
    <w:p w:rsidR="00F0508A" w:rsidRPr="002A31A6" w:rsidRDefault="00F0508A" w:rsidP="00F0508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>
        <w:rPr>
          <w:rFonts w:eastAsiaTheme="minorHAnsi"/>
          <w:bCs/>
          <w:i/>
          <w:sz w:val="28"/>
          <w:szCs w:val="28"/>
          <w:lang w:eastAsia="en-US"/>
        </w:rPr>
        <w:t>В</w:t>
      </w:r>
      <w:r w:rsidRPr="002A31A6">
        <w:rPr>
          <w:rFonts w:eastAsiaTheme="minorHAnsi"/>
          <w:bCs/>
          <w:i/>
          <w:sz w:val="28"/>
          <w:szCs w:val="28"/>
          <w:lang w:eastAsia="en-US"/>
        </w:rPr>
        <w:t xml:space="preserve">  2020 году планируется заключение контрактов на выполнение </w:t>
      </w:r>
      <w:r w:rsidRPr="002A31A6">
        <w:rPr>
          <w:i/>
          <w:sz w:val="28"/>
          <w:szCs w:val="28"/>
        </w:rPr>
        <w:t>работ, связанных с осуществлением регулярных перевозок по регулируемым тарифам,</w:t>
      </w:r>
      <w:r w:rsidRPr="002A31A6">
        <w:rPr>
          <w:rFonts w:eastAsiaTheme="minorHAnsi"/>
          <w:bCs/>
          <w:i/>
          <w:sz w:val="28"/>
          <w:szCs w:val="28"/>
          <w:lang w:eastAsia="en-US"/>
        </w:rPr>
        <w:t xml:space="preserve"> в соответствии с требованием Федерального закона от 13.07.2015 №220-ФЗ «Об организации регулярных перевозок пассажиров и багажа автомобильным транспортом и городским наземн</w:t>
      </w:r>
      <w:r w:rsidR="00485EA4">
        <w:rPr>
          <w:rFonts w:eastAsiaTheme="minorHAnsi"/>
          <w:bCs/>
          <w:i/>
          <w:sz w:val="28"/>
          <w:szCs w:val="28"/>
          <w:lang w:eastAsia="en-US"/>
        </w:rPr>
        <w:t>ым электрическим транспортом в Р</w:t>
      </w:r>
      <w:r w:rsidRPr="002A31A6">
        <w:rPr>
          <w:rFonts w:eastAsiaTheme="minorHAnsi"/>
          <w:bCs/>
          <w:i/>
          <w:sz w:val="28"/>
          <w:szCs w:val="28"/>
          <w:lang w:eastAsia="en-US"/>
        </w:rPr>
        <w:t>оссийской Федерации и о внесении изменений в отдельные законодательные акты Российской Федерации»</w:t>
      </w:r>
      <w:r w:rsidRPr="002A31A6">
        <w:rPr>
          <w:i/>
          <w:sz w:val="28"/>
          <w:szCs w:val="28"/>
        </w:rPr>
        <w:t>.</w:t>
      </w:r>
      <w:proofErr w:type="gramEnd"/>
    </w:p>
    <w:p w:rsidR="00F0508A" w:rsidRPr="002A31A6" w:rsidRDefault="00F0508A" w:rsidP="00F0508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2A31A6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/>
          <w:sz w:val="28"/>
          <w:szCs w:val="28"/>
          <w:lang w:eastAsia="en-US"/>
        </w:rPr>
        <w:t>В</w:t>
      </w:r>
      <w:r w:rsidRPr="002A31A6">
        <w:rPr>
          <w:rFonts w:eastAsiaTheme="minorHAnsi"/>
          <w:bCs/>
          <w:i/>
          <w:sz w:val="28"/>
          <w:szCs w:val="28"/>
          <w:lang w:eastAsia="en-US"/>
        </w:rPr>
        <w:t xml:space="preserve"> проекте на 2020 год средства на оплату муниципальных контрактов не предусмотрены.</w:t>
      </w:r>
    </w:p>
    <w:p w:rsidR="00F0508A" w:rsidRPr="00926F2B" w:rsidRDefault="00F0508A" w:rsidP="00F0508A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26F2B">
        <w:rPr>
          <w:rFonts w:eastAsiaTheme="minorHAnsi"/>
          <w:bCs/>
          <w:sz w:val="28"/>
          <w:szCs w:val="28"/>
          <w:lang w:eastAsia="en-US"/>
        </w:rPr>
        <w:t xml:space="preserve">В рамках данного подраздела предусмотрены средства на финансовое обеспечение деятельности  департамента транспорта и департамента  дорожного хозяйства и благоустройства в размере </w:t>
      </w:r>
      <w:r>
        <w:rPr>
          <w:rFonts w:eastAsiaTheme="minorHAnsi"/>
          <w:bCs/>
          <w:sz w:val="28"/>
          <w:szCs w:val="28"/>
          <w:lang w:eastAsia="en-US"/>
        </w:rPr>
        <w:t>30,8</w:t>
      </w:r>
      <w:r w:rsidRPr="00926F2B">
        <w:rPr>
          <w:rFonts w:eastAsiaTheme="minorHAnsi"/>
          <w:bCs/>
          <w:sz w:val="28"/>
          <w:szCs w:val="28"/>
          <w:lang w:eastAsia="en-US"/>
        </w:rPr>
        <w:t xml:space="preserve"> млн. руб.</w:t>
      </w:r>
      <w:r>
        <w:rPr>
          <w:rFonts w:eastAsiaTheme="minorHAnsi"/>
          <w:bCs/>
          <w:sz w:val="28"/>
          <w:szCs w:val="28"/>
          <w:lang w:eastAsia="en-US"/>
        </w:rPr>
        <w:t xml:space="preserve"> и на выполнение муниципального задания МБУ «Липецкая городская транспортная компания» в сумме 2,2 млн. рублей.</w:t>
      </w:r>
    </w:p>
    <w:p w:rsidR="00F0508A" w:rsidRDefault="00F0508A" w:rsidP="00F0508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По подразделу </w:t>
      </w:r>
      <w:r w:rsidRPr="00926F2B">
        <w:rPr>
          <w:b/>
          <w:i/>
          <w:sz w:val="28"/>
          <w:szCs w:val="28"/>
        </w:rPr>
        <w:t>«Дорожное хозяйство (дорожные фонды)»</w:t>
      </w:r>
      <w:r w:rsidRPr="00926F2B">
        <w:rPr>
          <w:sz w:val="28"/>
          <w:szCs w:val="28"/>
        </w:rPr>
        <w:t xml:space="preserve"> запланированы бюджетные ассигнования в сумме </w:t>
      </w:r>
      <w:r>
        <w:rPr>
          <w:sz w:val="28"/>
          <w:szCs w:val="28"/>
        </w:rPr>
        <w:t xml:space="preserve">1642,3 </w:t>
      </w:r>
      <w:r w:rsidRPr="00926F2B">
        <w:rPr>
          <w:sz w:val="28"/>
          <w:szCs w:val="28"/>
        </w:rPr>
        <w:t xml:space="preserve">млн. руб., которые будут осваиваться в рамках </w:t>
      </w:r>
      <w:r>
        <w:rPr>
          <w:sz w:val="28"/>
          <w:szCs w:val="28"/>
        </w:rPr>
        <w:t xml:space="preserve">муниципальной </w:t>
      </w:r>
      <w:r w:rsidRPr="00926F2B">
        <w:rPr>
          <w:sz w:val="28"/>
          <w:szCs w:val="28"/>
        </w:rPr>
        <w:t>программы «Развитие транспорта и дорожного хозяйства города Липецка»</w:t>
      </w:r>
      <w:r>
        <w:rPr>
          <w:sz w:val="28"/>
          <w:szCs w:val="28"/>
        </w:rPr>
        <w:t xml:space="preserve">. 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2020 году планируется реализация второго этапа проекта «Безопасные и качественные дороги», предусматривающего строительство и реконструкцию дорог,  в связи с этим, наряду с выделением средств на капитальный ремонт автомобильных дорог в сумме 67,1 млн. руб. 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вышестоящими бюджетами    предусмотрены средства   на реконструкцию проспекта Победы с благоустройством прилегающей территории  в сумме 650,0 млн. руб. и улицы Баумана в</w:t>
      </w:r>
      <w:proofErr w:type="gramEnd"/>
      <w:r>
        <w:rPr>
          <w:sz w:val="28"/>
          <w:szCs w:val="28"/>
        </w:rPr>
        <w:t xml:space="preserve">  сумме 131,7 млн. рублей.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для соблюдения условий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вышестоящими бюджетами предусмотрены средства на строительство мостового перехода в поселке Новая Жизнь   в сумме 277,1 млн. рублей. 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r w:rsidRPr="009D32CE">
        <w:rPr>
          <w:sz w:val="28"/>
          <w:szCs w:val="28"/>
        </w:rPr>
        <w:lastRenderedPageBreak/>
        <w:t xml:space="preserve">Благодаря реализации приоритетного проекта «Безопасные и качественные дороги» доля протяженности </w:t>
      </w:r>
      <w:proofErr w:type="gramStart"/>
      <w:r w:rsidRPr="009D32CE">
        <w:rPr>
          <w:sz w:val="28"/>
          <w:szCs w:val="28"/>
        </w:rPr>
        <w:t>дорог общего пользования местного значения, не отвечающих нормативным требованиям в 2020 году по сравнению с началом реализации проекта будет</w:t>
      </w:r>
      <w:proofErr w:type="gramEnd"/>
      <w:r w:rsidRPr="009D32CE">
        <w:rPr>
          <w:sz w:val="28"/>
          <w:szCs w:val="28"/>
        </w:rPr>
        <w:t xml:space="preserve"> сокращена на 12,7%  и составит 29,3 процентов.</w:t>
      </w:r>
    </w:p>
    <w:p w:rsidR="00F0508A" w:rsidRDefault="00F0508A" w:rsidP="00F0508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данному подразделу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2020 году </w:t>
      </w:r>
      <w:r w:rsidRPr="00926F2B">
        <w:rPr>
          <w:sz w:val="28"/>
          <w:szCs w:val="28"/>
        </w:rPr>
        <w:t>планиру</w:t>
      </w:r>
      <w:r>
        <w:rPr>
          <w:sz w:val="28"/>
          <w:szCs w:val="28"/>
        </w:rPr>
        <w:t>е</w:t>
      </w:r>
      <w:r w:rsidRPr="00926F2B">
        <w:rPr>
          <w:sz w:val="28"/>
          <w:szCs w:val="28"/>
        </w:rPr>
        <w:t xml:space="preserve">тся направить </w:t>
      </w:r>
      <w:r>
        <w:rPr>
          <w:sz w:val="28"/>
          <w:szCs w:val="28"/>
        </w:rPr>
        <w:t>399,7  млн. руб.  в виде субсидий на выполнение работ:</w:t>
      </w:r>
    </w:p>
    <w:p w:rsidR="00F0508A" w:rsidRDefault="00F0508A" w:rsidP="00F0508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уборке и текущему содержанию территории города  - 306,7 млн. руб.;</w:t>
      </w:r>
    </w:p>
    <w:p w:rsidR="00F0508A" w:rsidRDefault="00F0508A" w:rsidP="00F0508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ремонту дорог – 68,9 млн. руб.;</w:t>
      </w:r>
    </w:p>
    <w:p w:rsidR="00F0508A" w:rsidRDefault="00F0508A" w:rsidP="00F0508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содержанию мостовых сооружений – 6,2 млн. руб.;</w:t>
      </w:r>
    </w:p>
    <w:p w:rsidR="00F0508A" w:rsidRDefault="00F0508A" w:rsidP="00F0508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содержанию ливневых канализаций – 10,6 млн. руб.;</w:t>
      </w:r>
    </w:p>
    <w:p w:rsidR="00F0508A" w:rsidRDefault="00F0508A" w:rsidP="00F0508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содержанию светофорных объектов и оплату электроэнергии - 7,4 млн. рублей</w:t>
      </w:r>
      <w:r w:rsidRPr="00926F2B">
        <w:rPr>
          <w:sz w:val="28"/>
          <w:szCs w:val="28"/>
        </w:rPr>
        <w:t xml:space="preserve">. 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текущем году на вышеуказанные цели направлено 424,3 млн. рублей.</w:t>
      </w:r>
    </w:p>
    <w:p w:rsidR="00F0508A" w:rsidRPr="00926F2B" w:rsidRDefault="00F0508A" w:rsidP="00F0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превышением к уточненному бюджету на 2019 год планируются средства на  техническую инвентаризацию и паспортизацию объектов дорожного хозяйства, оплату налоговых обязательств (62,4 млн. руб.), содержание, капитальный ремонт и ремонт автомобильных дорог общего пользования местного значения (20,8 млн. руб.). </w:t>
      </w:r>
    </w:p>
    <w:p w:rsidR="00F0508A" w:rsidRPr="00392267" w:rsidRDefault="00F0508A" w:rsidP="00F0508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подразделу  </w:t>
      </w:r>
      <w:r w:rsidRPr="00392267">
        <w:rPr>
          <w:b/>
          <w:i/>
          <w:sz w:val="28"/>
          <w:szCs w:val="28"/>
        </w:rPr>
        <w:t>«Сельское хозяйство и рыболовство»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средства  в виде субвенций на проведение мероприятий по отлову и содержанию  безнадзорных животных в сумме 7,7 млн. рублей.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В подразделе </w:t>
      </w:r>
      <w:r w:rsidRPr="00392267">
        <w:rPr>
          <w:b/>
          <w:i/>
          <w:sz w:val="28"/>
          <w:szCs w:val="28"/>
        </w:rPr>
        <w:t>«Другие вопросы в области национальной экономики»</w:t>
      </w:r>
      <w:r w:rsidRPr="00926F2B">
        <w:rPr>
          <w:sz w:val="28"/>
          <w:szCs w:val="28"/>
        </w:rPr>
        <w:t xml:space="preserve"> отражены ра</w:t>
      </w:r>
      <w:r>
        <w:rPr>
          <w:sz w:val="28"/>
          <w:szCs w:val="28"/>
        </w:rPr>
        <w:t>сходы в сумме 111,7 млн. руб., что в 3,7 раза меньше уточненного бюджета на 2019 год. Снижение связано с завершением в текущем году мероприятий по реконструкции  производственных помещений МБУ «Технопарк-Липецк».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субсидии МБУ «Технопарк-Липецк» только на финансовое обеспечение выполнения муниципального задания в сумме 13,3 млн. рублей.  Кроме того отражены расходы </w:t>
      </w:r>
      <w:r w:rsidRPr="00926F2B">
        <w:rPr>
          <w:sz w:val="28"/>
          <w:szCs w:val="28"/>
        </w:rPr>
        <w:t>на</w:t>
      </w:r>
      <w:r w:rsidRPr="004E1A3A"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>своевременную  и качественную организацию градостроительного</w:t>
      </w:r>
      <w:r>
        <w:rPr>
          <w:sz w:val="28"/>
          <w:szCs w:val="28"/>
        </w:rPr>
        <w:t xml:space="preserve"> процесса на территории города, </w:t>
      </w:r>
      <w:r w:rsidR="00753053">
        <w:rPr>
          <w:sz w:val="28"/>
          <w:szCs w:val="28"/>
        </w:rPr>
        <w:t>на</w:t>
      </w:r>
      <w:r w:rsidRPr="00926F2B">
        <w:rPr>
          <w:sz w:val="28"/>
          <w:szCs w:val="28"/>
        </w:rPr>
        <w:t xml:space="preserve"> проведени</w:t>
      </w:r>
      <w:r w:rsidR="00753053">
        <w:rPr>
          <w:sz w:val="28"/>
          <w:szCs w:val="28"/>
        </w:rPr>
        <w:t>е</w:t>
      </w:r>
      <w:r w:rsidRPr="00926F2B">
        <w:rPr>
          <w:sz w:val="28"/>
          <w:szCs w:val="28"/>
        </w:rPr>
        <w:t xml:space="preserve"> событийных мероприятий туристской направленности</w:t>
      </w:r>
      <w:r>
        <w:rPr>
          <w:sz w:val="28"/>
          <w:szCs w:val="28"/>
        </w:rPr>
        <w:t>, на развитие и поддержку малого и среднего предпринимательства</w:t>
      </w:r>
      <w:r w:rsidRPr="00926F2B">
        <w:rPr>
          <w:sz w:val="28"/>
          <w:szCs w:val="28"/>
        </w:rPr>
        <w:t>.</w:t>
      </w:r>
    </w:p>
    <w:p w:rsidR="00F0508A" w:rsidRPr="00926F2B" w:rsidRDefault="00F0508A" w:rsidP="00F0508A">
      <w:pPr>
        <w:ind w:firstLine="709"/>
        <w:jc w:val="both"/>
        <w:rPr>
          <w:sz w:val="28"/>
          <w:szCs w:val="28"/>
        </w:rPr>
      </w:pPr>
    </w:p>
    <w:p w:rsidR="00F0508A" w:rsidRPr="00926F2B" w:rsidRDefault="00F0508A" w:rsidP="00F0508A">
      <w:pPr>
        <w:ind w:firstLine="284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    По разделу   </w:t>
      </w:r>
      <w:r w:rsidRPr="00926F2B">
        <w:rPr>
          <w:b/>
          <w:sz w:val="28"/>
          <w:szCs w:val="28"/>
        </w:rPr>
        <w:t xml:space="preserve">«Жилищно-коммунальное хозяйство» </w:t>
      </w:r>
      <w:r w:rsidRPr="00926F2B">
        <w:rPr>
          <w:sz w:val="28"/>
          <w:szCs w:val="28"/>
        </w:rPr>
        <w:t>бюджетные ассигнования на 20</w:t>
      </w:r>
      <w:r>
        <w:rPr>
          <w:sz w:val="28"/>
          <w:szCs w:val="28"/>
        </w:rPr>
        <w:t>20 год</w:t>
      </w:r>
      <w:r w:rsidRPr="00926F2B">
        <w:rPr>
          <w:sz w:val="28"/>
          <w:szCs w:val="28"/>
        </w:rPr>
        <w:t xml:space="preserve"> предусмотрены в сумме </w:t>
      </w:r>
      <w:r>
        <w:rPr>
          <w:sz w:val="28"/>
          <w:szCs w:val="28"/>
        </w:rPr>
        <w:t xml:space="preserve">892,3 </w:t>
      </w:r>
      <w:r w:rsidRPr="00926F2B">
        <w:rPr>
          <w:sz w:val="28"/>
          <w:szCs w:val="28"/>
        </w:rPr>
        <w:t>млн. руб</w:t>
      </w:r>
      <w:r>
        <w:rPr>
          <w:sz w:val="28"/>
          <w:szCs w:val="28"/>
        </w:rPr>
        <w:t xml:space="preserve">лей. </w:t>
      </w:r>
      <w:r w:rsidRPr="00926F2B">
        <w:rPr>
          <w:sz w:val="28"/>
          <w:szCs w:val="28"/>
        </w:rPr>
        <w:t xml:space="preserve">  Доля в общем объеме расходов городского бюджета в 20</w:t>
      </w:r>
      <w:r>
        <w:rPr>
          <w:sz w:val="28"/>
          <w:szCs w:val="28"/>
        </w:rPr>
        <w:t>20</w:t>
      </w:r>
      <w:r w:rsidRPr="00926F2B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7,7</w:t>
      </w:r>
      <w:r w:rsidRPr="00926F2B">
        <w:rPr>
          <w:sz w:val="28"/>
          <w:szCs w:val="28"/>
        </w:rPr>
        <w:t xml:space="preserve"> %.</w:t>
      </w:r>
    </w:p>
    <w:p w:rsidR="00F0508A" w:rsidRDefault="00F0508A" w:rsidP="00F0508A">
      <w:pPr>
        <w:ind w:firstLine="284"/>
        <w:jc w:val="both"/>
        <w:rPr>
          <w:sz w:val="28"/>
          <w:szCs w:val="28"/>
        </w:rPr>
      </w:pPr>
      <w:r w:rsidRPr="00926F2B">
        <w:rPr>
          <w:sz w:val="28"/>
          <w:szCs w:val="28"/>
        </w:rPr>
        <w:tab/>
        <w:t xml:space="preserve">По подразделу </w:t>
      </w:r>
      <w:r w:rsidRPr="00926F2B">
        <w:rPr>
          <w:b/>
          <w:sz w:val="28"/>
          <w:szCs w:val="28"/>
        </w:rPr>
        <w:t>«</w:t>
      </w:r>
      <w:r w:rsidRPr="000B4FD7">
        <w:rPr>
          <w:b/>
          <w:i/>
          <w:sz w:val="28"/>
          <w:szCs w:val="28"/>
        </w:rPr>
        <w:t>Жилищное хозяйство</w:t>
      </w:r>
      <w:r w:rsidRPr="00926F2B">
        <w:rPr>
          <w:b/>
          <w:sz w:val="28"/>
          <w:szCs w:val="28"/>
        </w:rPr>
        <w:t>»</w:t>
      </w:r>
      <w:r w:rsidRPr="00926F2B">
        <w:rPr>
          <w:sz w:val="28"/>
          <w:szCs w:val="28"/>
        </w:rPr>
        <w:t xml:space="preserve"> объем финансирования составит </w:t>
      </w:r>
      <w:r>
        <w:rPr>
          <w:sz w:val="28"/>
          <w:szCs w:val="28"/>
        </w:rPr>
        <w:t>357,3</w:t>
      </w:r>
      <w:r w:rsidRPr="00926F2B">
        <w:rPr>
          <w:sz w:val="28"/>
          <w:szCs w:val="28"/>
        </w:rPr>
        <w:t xml:space="preserve"> млн. рублей. 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Регионального проекта «Обеспечение устойчивого сокращения непригодного для проживания жилищного фонда» (Национальный проект «Жилье и городская среда»)</w:t>
      </w:r>
      <w:r w:rsidRPr="00926F2B">
        <w:rPr>
          <w:sz w:val="28"/>
          <w:szCs w:val="28"/>
        </w:rPr>
        <w:t xml:space="preserve"> запланированы расходы</w:t>
      </w:r>
      <w:r>
        <w:rPr>
          <w:sz w:val="28"/>
          <w:szCs w:val="28"/>
        </w:rPr>
        <w:t xml:space="preserve"> на переселение граждан из аварийного жилищного фонда в сумме 243,8 млн. руб., из которых 193,8 млн. руб.  - средства Фонда содействия </w:t>
      </w:r>
      <w:r>
        <w:rPr>
          <w:sz w:val="28"/>
          <w:szCs w:val="28"/>
        </w:rPr>
        <w:lastRenderedPageBreak/>
        <w:t xml:space="preserve">реформированию ЖКХ и областного бюджета.  Размер средств рассчитан исходя  из площади жилых помещений в аварийных многоквартирных домах, подлежащей расселению  (5854,4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)   и  фиксированной стоимости одного квадратного метра жилого помещения, установленной приказом Минстроя (для Липецкой области - 33106 руб.), т.е. без учета реальной рыночной стоимости жилья и площади жилого помещения, фактически приобретаемого для переселения.  В связи с этим на оплату дополнительных метров и разницы в цене за квадратный метр предусмотрены средства городского бюджета в сумме 50,0 млн. рублей. 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данному подразделу </w:t>
      </w:r>
      <w:r>
        <w:rPr>
          <w:sz w:val="28"/>
          <w:szCs w:val="28"/>
        </w:rPr>
        <w:t xml:space="preserve">планируются средства </w:t>
      </w:r>
      <w:r w:rsidRPr="00EF2760">
        <w:rPr>
          <w:sz w:val="28"/>
          <w:szCs w:val="28"/>
        </w:rPr>
        <w:t>на финансирование части затрат по капитальному ремонту общего имущества в многоквартирных домах (45,0 млн. руб.), на снос расселенных аварийных домов (6,1 млн. руб.), на уплату взносов на капитальный ремонт муниципального жилищного фонда города (16,9 млн. руб.)</w:t>
      </w:r>
      <w:r>
        <w:rPr>
          <w:sz w:val="28"/>
          <w:szCs w:val="28"/>
        </w:rPr>
        <w:t xml:space="preserve"> и другие работы и услуги.</w:t>
      </w:r>
    </w:p>
    <w:p w:rsidR="00F0508A" w:rsidRPr="003E0B45" w:rsidRDefault="00F0508A" w:rsidP="00F0508A">
      <w:pPr>
        <w:ind w:firstLine="708"/>
        <w:jc w:val="both"/>
        <w:rPr>
          <w:sz w:val="28"/>
          <w:szCs w:val="28"/>
        </w:rPr>
      </w:pPr>
      <w:r w:rsidRPr="003E0B45">
        <w:rPr>
          <w:sz w:val="28"/>
          <w:szCs w:val="28"/>
        </w:rPr>
        <w:t xml:space="preserve">На 2020 год предусмотрены средства в размере  2,1 млн. руб. на проведение ремонта </w:t>
      </w:r>
      <w:r>
        <w:rPr>
          <w:sz w:val="28"/>
          <w:szCs w:val="28"/>
        </w:rPr>
        <w:t>15</w:t>
      </w:r>
      <w:r w:rsidRPr="003E0B45">
        <w:rPr>
          <w:sz w:val="28"/>
          <w:szCs w:val="28"/>
        </w:rPr>
        <w:t xml:space="preserve"> жилых помещений для повторного заселения, с целью исполнения  полномочий по обеспечению  жильем нуждающихся в улучшении жилищных условий.</w:t>
      </w:r>
    </w:p>
    <w:p w:rsidR="00F0508A" w:rsidRPr="00853302" w:rsidRDefault="00F0508A" w:rsidP="00F0508A">
      <w:pPr>
        <w:ind w:firstLine="708"/>
        <w:jc w:val="both"/>
        <w:rPr>
          <w:i/>
          <w:color w:val="FF0000"/>
          <w:sz w:val="28"/>
          <w:szCs w:val="28"/>
          <w:highlight w:val="yellow"/>
        </w:rPr>
      </w:pPr>
      <w:r w:rsidRPr="00853302">
        <w:rPr>
          <w:color w:val="FF0000"/>
          <w:sz w:val="28"/>
          <w:szCs w:val="28"/>
        </w:rPr>
        <w:t xml:space="preserve">  </w:t>
      </w:r>
      <w:r w:rsidRPr="003E0B45">
        <w:rPr>
          <w:i/>
          <w:sz w:val="28"/>
          <w:szCs w:val="28"/>
        </w:rPr>
        <w:t xml:space="preserve">Следует отметить, что нуждающихся в улучшении жилищных условий и вставших на учет до 01.03.2005 года и малоимущих граждан  </w:t>
      </w:r>
      <w:r>
        <w:rPr>
          <w:i/>
          <w:sz w:val="28"/>
          <w:szCs w:val="28"/>
        </w:rPr>
        <w:t>по состоянию на 12.11.2019г. -</w:t>
      </w:r>
      <w:r w:rsidRPr="003E0B45">
        <w:rPr>
          <w:i/>
          <w:sz w:val="28"/>
          <w:szCs w:val="28"/>
        </w:rPr>
        <w:t xml:space="preserve"> 5894 очередник</w:t>
      </w:r>
      <w:r>
        <w:rPr>
          <w:i/>
          <w:sz w:val="28"/>
          <w:szCs w:val="28"/>
        </w:rPr>
        <w:t>а</w:t>
      </w:r>
      <w:r w:rsidRPr="003E0B45">
        <w:rPr>
          <w:i/>
          <w:sz w:val="28"/>
          <w:szCs w:val="28"/>
        </w:rPr>
        <w:t xml:space="preserve">.   </w:t>
      </w:r>
    </w:p>
    <w:p w:rsidR="00F0508A" w:rsidRPr="00B23590" w:rsidRDefault="00F0508A" w:rsidP="00F0508A">
      <w:pPr>
        <w:ind w:firstLine="708"/>
        <w:jc w:val="both"/>
        <w:rPr>
          <w:i/>
          <w:sz w:val="28"/>
          <w:szCs w:val="28"/>
        </w:rPr>
      </w:pPr>
      <w:r w:rsidRPr="00853302">
        <w:rPr>
          <w:i/>
          <w:color w:val="FF0000"/>
          <w:sz w:val="28"/>
          <w:szCs w:val="28"/>
        </w:rPr>
        <w:t xml:space="preserve">  </w:t>
      </w:r>
      <w:r w:rsidRPr="00B23590">
        <w:rPr>
          <w:i/>
          <w:sz w:val="28"/>
          <w:szCs w:val="28"/>
        </w:rPr>
        <w:t>Таким образом,  планируемые средства не позволят в достаточной мере исполнять полномочия, возложенные на муниципалитет.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proofErr w:type="gramStart"/>
      <w:r w:rsidRPr="00926F2B">
        <w:rPr>
          <w:sz w:val="28"/>
          <w:szCs w:val="28"/>
        </w:rPr>
        <w:t xml:space="preserve">По подразделу </w:t>
      </w:r>
      <w:r w:rsidRPr="00926F2B">
        <w:rPr>
          <w:b/>
          <w:sz w:val="28"/>
          <w:szCs w:val="28"/>
        </w:rPr>
        <w:t>«</w:t>
      </w:r>
      <w:r w:rsidRPr="000B4FD7">
        <w:rPr>
          <w:b/>
          <w:i/>
          <w:sz w:val="28"/>
          <w:szCs w:val="28"/>
        </w:rPr>
        <w:t>Коммунальное хозяйство</w:t>
      </w:r>
      <w:r w:rsidRPr="00926F2B">
        <w:rPr>
          <w:b/>
          <w:sz w:val="28"/>
          <w:szCs w:val="28"/>
        </w:rPr>
        <w:t>»</w:t>
      </w:r>
      <w:r w:rsidRPr="00926F2B">
        <w:rPr>
          <w:sz w:val="28"/>
          <w:szCs w:val="28"/>
        </w:rPr>
        <w:t xml:space="preserve"> предусмотрено </w:t>
      </w:r>
      <w:r>
        <w:rPr>
          <w:sz w:val="28"/>
          <w:szCs w:val="28"/>
        </w:rPr>
        <w:t>30,8</w:t>
      </w:r>
      <w:r w:rsidRPr="00926F2B">
        <w:rPr>
          <w:sz w:val="28"/>
          <w:szCs w:val="28"/>
        </w:rPr>
        <w:t xml:space="preserve"> млн. руб., </w:t>
      </w: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в виде бюджетных инвестиций предусматриваются средства</w:t>
      </w:r>
      <w:r w:rsidRPr="00860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разработку проектно-сметной документации на строительство комплекса сооружений по обработке и утилизации осадка сточных вод МУП «Липецкая станция аэрации»  15,1 млн. руб. и на строительство и модернизацию объектов инженерной инфраструктуры в сумме 11,3 </w:t>
      </w:r>
      <w:r w:rsidRPr="00926F2B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лей.</w:t>
      </w:r>
      <w:proofErr w:type="gramEnd"/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сравнении с  2019 годом отмечается значительное сокращение бюджетных инвестиций.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у</w:t>
      </w:r>
      <w:r w:rsidRPr="00F42089">
        <w:rPr>
          <w:sz w:val="28"/>
          <w:szCs w:val="28"/>
        </w:rPr>
        <w:t>меньшение объема финансирования</w:t>
      </w:r>
      <w:r>
        <w:rPr>
          <w:sz w:val="28"/>
          <w:szCs w:val="28"/>
        </w:rPr>
        <w:t xml:space="preserve"> повлияло то, </w:t>
      </w:r>
      <w:r w:rsidRPr="00F42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в 2019 году  </w:t>
      </w:r>
      <w:r w:rsidR="00C93E40">
        <w:rPr>
          <w:sz w:val="28"/>
          <w:szCs w:val="28"/>
        </w:rPr>
        <w:t>выделены</w:t>
      </w:r>
      <w:r>
        <w:rPr>
          <w:sz w:val="28"/>
          <w:szCs w:val="28"/>
        </w:rPr>
        <w:t xml:space="preserve"> значительные </w:t>
      </w:r>
      <w:r w:rsidR="00C93E40">
        <w:rPr>
          <w:sz w:val="28"/>
          <w:szCs w:val="28"/>
        </w:rPr>
        <w:t>ассигнования</w:t>
      </w:r>
      <w:r>
        <w:rPr>
          <w:sz w:val="28"/>
          <w:szCs w:val="28"/>
        </w:rPr>
        <w:t xml:space="preserve"> </w:t>
      </w:r>
      <w:r w:rsidR="00C93E40">
        <w:rPr>
          <w:sz w:val="28"/>
          <w:szCs w:val="28"/>
        </w:rPr>
        <w:t>из</w:t>
      </w:r>
      <w:r>
        <w:rPr>
          <w:sz w:val="28"/>
          <w:szCs w:val="28"/>
        </w:rPr>
        <w:t xml:space="preserve"> областного бюджета  на строительство водоснабжения жилого района малоэтажной застройки в с. Желтые Пески, осуществляемы</w:t>
      </w:r>
      <w:r w:rsidR="00753053">
        <w:rPr>
          <w:sz w:val="28"/>
          <w:szCs w:val="28"/>
        </w:rPr>
        <w:t>е</w:t>
      </w:r>
      <w:r>
        <w:rPr>
          <w:sz w:val="28"/>
          <w:szCs w:val="28"/>
        </w:rPr>
        <w:t xml:space="preserve"> в рамках мероприятий по развитию инженерной инфраструктуры города Липецка.</w:t>
      </w:r>
      <w:proofErr w:type="gramEnd"/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подразделу  </w:t>
      </w:r>
      <w:r w:rsidRPr="00926F2B">
        <w:rPr>
          <w:b/>
          <w:sz w:val="28"/>
          <w:szCs w:val="28"/>
        </w:rPr>
        <w:t>«</w:t>
      </w:r>
      <w:r w:rsidRPr="000B4FD7">
        <w:rPr>
          <w:b/>
          <w:i/>
          <w:sz w:val="28"/>
          <w:szCs w:val="28"/>
        </w:rPr>
        <w:t>Благоустройство»</w:t>
      </w:r>
      <w:r w:rsidRPr="00926F2B">
        <w:rPr>
          <w:sz w:val="28"/>
          <w:szCs w:val="28"/>
        </w:rPr>
        <w:t xml:space="preserve"> планируются  расходы в сумме </w:t>
      </w:r>
      <w:r>
        <w:rPr>
          <w:sz w:val="28"/>
          <w:szCs w:val="28"/>
        </w:rPr>
        <w:t xml:space="preserve">395,8  </w:t>
      </w:r>
      <w:r w:rsidRPr="00926F2B">
        <w:rPr>
          <w:sz w:val="28"/>
          <w:szCs w:val="28"/>
        </w:rPr>
        <w:t xml:space="preserve">млн. руб., </w:t>
      </w:r>
      <w:r>
        <w:rPr>
          <w:sz w:val="28"/>
          <w:szCs w:val="28"/>
        </w:rPr>
        <w:t>что</w:t>
      </w:r>
      <w:r w:rsidRPr="00926F2B">
        <w:rPr>
          <w:sz w:val="28"/>
          <w:szCs w:val="28"/>
        </w:rPr>
        <w:t xml:space="preserve"> меньше  текущего года </w:t>
      </w:r>
      <w:r>
        <w:rPr>
          <w:sz w:val="28"/>
          <w:szCs w:val="28"/>
        </w:rPr>
        <w:t>более чем в 2 раза.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в основном связано с отсутствием в проекте бюджета на 2020 год средств из вышестоящих бюджетов на реализацию мероприятий по формированию современной городской среды. 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Регионального проекта «Формирование комфортной городской среды» (национальный проект «Жилье и городская среда») на 2020 год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 с вышестоящими бюджетами предусмотрены средства на благоустройство общественных территорий в </w:t>
      </w:r>
      <w:r>
        <w:rPr>
          <w:sz w:val="28"/>
          <w:szCs w:val="28"/>
        </w:rPr>
        <w:lastRenderedPageBreak/>
        <w:t xml:space="preserve">сумме 38,0 млн. руб. и благоустройство дворовых территорий многоквартирных домов в сумме 18,0 млн. рублей. Для изготовления ПСД на благоустройство набережной реки Воронеж,  территории парка Победы,  бульвара по ул. </w:t>
      </w:r>
      <w:proofErr w:type="spellStart"/>
      <w:r>
        <w:rPr>
          <w:sz w:val="28"/>
          <w:szCs w:val="28"/>
        </w:rPr>
        <w:t>Белана</w:t>
      </w:r>
      <w:proofErr w:type="spellEnd"/>
      <w:r>
        <w:rPr>
          <w:sz w:val="28"/>
          <w:szCs w:val="28"/>
        </w:rPr>
        <w:t xml:space="preserve">,  для разработки </w:t>
      </w:r>
      <w:proofErr w:type="gramStart"/>
      <w:r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 xml:space="preserve"> по благоустройству дворовых территорий планируется направить 12,0 млн. рублей. 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на реализацию мероприятий по формированию современной городской среды н</w:t>
      </w:r>
      <w:r w:rsidR="00C93E40">
        <w:rPr>
          <w:sz w:val="28"/>
          <w:szCs w:val="28"/>
        </w:rPr>
        <w:t>аправлено 333,6</w:t>
      </w:r>
      <w:r>
        <w:rPr>
          <w:sz w:val="28"/>
          <w:szCs w:val="28"/>
        </w:rPr>
        <w:t xml:space="preserve"> млн. руб., в том числе в рамках Регионального проекта «Формирование комфортной городской среды» - 289,8 млн. рублей.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организацию освещения города  предусмотрено 137,2  млн. руб., что на 12,5 млн. руб. меньше текущего года. По сравнению с текущим годом расходы  на содержание и ремонт зеленых насаждений  сокращаются на 6,2 млн. руб. и составят 105,0 млн. рублей.  </w:t>
      </w:r>
      <w:r w:rsidRPr="00850897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того, в 2,2 раза уменьшено  финансовое обеспечение  выполнения муниципального задания МБУ «Ритуальные услуги г. Липецка»,  в связи со снижением ставки по земельному налогу в отношении земельных участков, предназначенных для размещения кладбищ.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областным бюджетом и гражданами будет продолжена практика  реализации проектов, отобранных на конкурсной основе, предложенных территориальным общественным самоуправлением,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в проекте бюджета предусмотрены средства</w:t>
      </w:r>
      <w:r w:rsidR="00753053">
        <w:rPr>
          <w:sz w:val="28"/>
          <w:szCs w:val="28"/>
        </w:rPr>
        <w:t xml:space="preserve"> городского бюджета</w:t>
      </w:r>
      <w:r>
        <w:rPr>
          <w:sz w:val="28"/>
          <w:szCs w:val="28"/>
        </w:rPr>
        <w:t xml:space="preserve"> в сумме 2,0 млн. рублей. 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На содержание и ремонт прочих объектов благоустройства </w:t>
      </w:r>
      <w:r>
        <w:rPr>
          <w:sz w:val="28"/>
          <w:szCs w:val="28"/>
        </w:rPr>
        <w:t xml:space="preserve">(фонтанов, подземных переходов, малых архитектурных форм и др.)  </w:t>
      </w:r>
      <w:r w:rsidRPr="00926F2B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 xml:space="preserve">34,6 </w:t>
      </w:r>
      <w:r w:rsidRPr="00926F2B">
        <w:rPr>
          <w:sz w:val="28"/>
          <w:szCs w:val="28"/>
        </w:rPr>
        <w:t xml:space="preserve"> млн. руб., что </w:t>
      </w:r>
      <w:r>
        <w:rPr>
          <w:sz w:val="28"/>
          <w:szCs w:val="28"/>
        </w:rPr>
        <w:t>на 9,3 млн. руб. (или на 21%)  меньше текущего года</w:t>
      </w:r>
      <w:r w:rsidRPr="00926F2B">
        <w:rPr>
          <w:sz w:val="28"/>
          <w:szCs w:val="28"/>
        </w:rPr>
        <w:t>.</w:t>
      </w:r>
      <w:r>
        <w:rPr>
          <w:sz w:val="28"/>
          <w:szCs w:val="28"/>
        </w:rPr>
        <w:t xml:space="preserve">  При этом в ходе контрольного мероприятия Счетная палата отмечала неудовлетворительное состояние подземных переходов, в связи с недостаточностью средств, направляемых на их ремонт. В 2020 году на ремонт подземных переходов направляется 0,3 млн. руб., на плановый период 2021 и 2022 годов – по 0,1 млн. руб., при потребности в ассигнованиях в сумме более 4,0 млн. рублей.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Pr="005D2E6C">
        <w:rPr>
          <w:b/>
          <w:i/>
          <w:sz w:val="28"/>
          <w:szCs w:val="28"/>
        </w:rPr>
        <w:t>«Другие вопросы в области жилищно-коммунального хозяйства»</w:t>
      </w:r>
      <w:r>
        <w:rPr>
          <w:sz w:val="28"/>
          <w:szCs w:val="28"/>
        </w:rPr>
        <w:t xml:space="preserve"> предусмотрены средства   на обеспечение деятельности аппарата управления департамента жилищно-коммунального хозяйства и двух казенных учреждений: МКУ «Управление капитального ремонта» и МКУ «Управление главного смотрителя».</w:t>
      </w:r>
    </w:p>
    <w:p w:rsidR="00F0508A" w:rsidRPr="00926F2B" w:rsidRDefault="00F0508A" w:rsidP="00F0508A">
      <w:pPr>
        <w:ind w:firstLine="709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Бюджетные ассигнования, предусмотренные  во внепрограммном формате   на 20</w:t>
      </w:r>
      <w:r w:rsidR="0075305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 36,0</w:t>
      </w:r>
      <w:r w:rsidRPr="00926F2B">
        <w:rPr>
          <w:sz w:val="28"/>
          <w:szCs w:val="28"/>
        </w:rPr>
        <w:t xml:space="preserve"> млн. руб. планиру</w:t>
      </w:r>
      <w:r w:rsidR="00753053">
        <w:rPr>
          <w:sz w:val="28"/>
          <w:szCs w:val="28"/>
        </w:rPr>
        <w:t>е</w:t>
      </w:r>
      <w:r w:rsidRPr="00926F2B">
        <w:rPr>
          <w:sz w:val="28"/>
          <w:szCs w:val="28"/>
        </w:rPr>
        <w:t>тся направить на</w:t>
      </w:r>
      <w:r>
        <w:rPr>
          <w:sz w:val="28"/>
          <w:szCs w:val="28"/>
        </w:rPr>
        <w:t xml:space="preserve"> выполнение наказов избирателей</w:t>
      </w:r>
      <w:r w:rsidRPr="00926F2B">
        <w:rPr>
          <w:sz w:val="28"/>
          <w:szCs w:val="28"/>
        </w:rPr>
        <w:t>, которые отражены по подразделу «Жилищное хозяйство».</w:t>
      </w:r>
    </w:p>
    <w:p w:rsidR="00F0508A" w:rsidRDefault="00F0508A" w:rsidP="00F05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2020 </w:t>
      </w:r>
      <w:r w:rsidRPr="00926F2B">
        <w:rPr>
          <w:sz w:val="28"/>
          <w:szCs w:val="28"/>
        </w:rPr>
        <w:t xml:space="preserve">году с </w:t>
      </w:r>
      <w:r>
        <w:rPr>
          <w:sz w:val="28"/>
          <w:szCs w:val="28"/>
        </w:rPr>
        <w:t xml:space="preserve">уменьшением 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чем </w:t>
      </w:r>
      <w:r w:rsidRPr="00926F2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3 </w:t>
      </w:r>
      <w:r w:rsidRPr="00926F2B">
        <w:rPr>
          <w:sz w:val="28"/>
          <w:szCs w:val="28"/>
        </w:rPr>
        <w:t xml:space="preserve"> раза по сравнению с </w:t>
      </w:r>
      <w:r>
        <w:rPr>
          <w:sz w:val="28"/>
          <w:szCs w:val="28"/>
        </w:rPr>
        <w:t xml:space="preserve">уточненным бюджетом на </w:t>
      </w:r>
      <w:r w:rsidRPr="00926F2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 планируются расходы по разделу  </w:t>
      </w:r>
      <w:r w:rsidRPr="00926F2B">
        <w:rPr>
          <w:b/>
          <w:bCs/>
          <w:sz w:val="28"/>
          <w:szCs w:val="28"/>
        </w:rPr>
        <w:t>«Охрана окружающей среды»</w:t>
      </w:r>
      <w:r w:rsidRPr="00926F2B">
        <w:rPr>
          <w:bCs/>
          <w:sz w:val="28"/>
          <w:szCs w:val="28"/>
        </w:rPr>
        <w:t>, которые составят</w:t>
      </w:r>
      <w:r w:rsidRPr="00926F2B">
        <w:rPr>
          <w:b/>
          <w:bCs/>
          <w:sz w:val="28"/>
          <w:szCs w:val="28"/>
        </w:rPr>
        <w:t xml:space="preserve"> </w:t>
      </w:r>
      <w:r w:rsidRPr="00E66F52">
        <w:rPr>
          <w:bCs/>
          <w:sz w:val="28"/>
          <w:szCs w:val="28"/>
        </w:rPr>
        <w:t>3,0</w:t>
      </w:r>
      <w:r w:rsidRPr="00926F2B">
        <w:rPr>
          <w:sz w:val="28"/>
          <w:szCs w:val="28"/>
        </w:rPr>
        <w:t xml:space="preserve"> млн. руб. и полностью сформированы в программном формате.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Уменьшение объема ассигнований связано с отражением расходов по содержанию полигона размещения твердых бытовых отходов «Венера» по подразделу 0503 «Благоустройство».</w:t>
      </w:r>
    </w:p>
    <w:p w:rsidR="00753053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целях соблюдения условий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вышестоящими  бюджетами при реализации Регионального проекта «Чистая страна»  (национальный проект «Экология») предусмотрены средства в сумме 1,0 млн. руб. на рекультивацию полигона твердых бытовых отходов «Венера».  </w:t>
      </w:r>
    </w:p>
    <w:p w:rsidR="00F0508A" w:rsidRPr="00C62DA4" w:rsidRDefault="00F0508A" w:rsidP="00CC4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предусмотрены средства на</w:t>
      </w:r>
      <w:r w:rsidRPr="00C62DA4">
        <w:rPr>
          <w:sz w:val="28"/>
          <w:szCs w:val="28"/>
        </w:rPr>
        <w:t xml:space="preserve"> реабилитацию и благоустр</w:t>
      </w:r>
      <w:r>
        <w:rPr>
          <w:sz w:val="28"/>
          <w:szCs w:val="28"/>
        </w:rPr>
        <w:t>ойство водных объектов в сумме 0,8</w:t>
      </w:r>
      <w:r w:rsidRPr="00C62DA4">
        <w:rPr>
          <w:sz w:val="28"/>
          <w:szCs w:val="28"/>
        </w:rPr>
        <w:t xml:space="preserve"> млн. руб. и на реализацию мероприятий по обращению с отходами в сумме </w:t>
      </w:r>
      <w:r>
        <w:rPr>
          <w:sz w:val="28"/>
          <w:szCs w:val="28"/>
        </w:rPr>
        <w:t>0,7</w:t>
      </w:r>
      <w:r w:rsidRPr="00C62DA4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лей.</w:t>
      </w:r>
    </w:p>
    <w:p w:rsidR="00104F37" w:rsidRDefault="00104F37" w:rsidP="00F0508A">
      <w:pPr>
        <w:ind w:firstLine="708"/>
        <w:jc w:val="both"/>
        <w:rPr>
          <w:sz w:val="28"/>
          <w:szCs w:val="28"/>
        </w:rPr>
      </w:pPr>
    </w:p>
    <w:p w:rsidR="00F0508A" w:rsidRPr="00926F2B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Объем бюджетных ассигнований по разделу  </w:t>
      </w:r>
      <w:r w:rsidRPr="00926F2B">
        <w:rPr>
          <w:b/>
          <w:bCs/>
          <w:sz w:val="28"/>
          <w:szCs w:val="28"/>
        </w:rPr>
        <w:t xml:space="preserve">«Образование» </w:t>
      </w:r>
      <w:r w:rsidRPr="00926F2B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6352,0</w:t>
      </w:r>
      <w:r w:rsidRPr="00926F2B">
        <w:rPr>
          <w:sz w:val="28"/>
          <w:szCs w:val="28"/>
        </w:rPr>
        <w:t xml:space="preserve"> млн. руб., в том числе по подразделам:</w:t>
      </w:r>
    </w:p>
    <w:p w:rsidR="00F0508A" w:rsidRPr="001B38A4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 </w:t>
      </w:r>
      <w:r w:rsidRPr="001B38A4">
        <w:rPr>
          <w:sz w:val="28"/>
          <w:szCs w:val="28"/>
        </w:rPr>
        <w:t>«Дошкольное образование»</w:t>
      </w:r>
      <w:r w:rsidRPr="001B38A4">
        <w:rPr>
          <w:b/>
          <w:sz w:val="28"/>
          <w:szCs w:val="28"/>
        </w:rPr>
        <w:t xml:space="preserve"> </w:t>
      </w:r>
      <w:r w:rsidRPr="001B38A4">
        <w:rPr>
          <w:sz w:val="28"/>
          <w:szCs w:val="28"/>
        </w:rPr>
        <w:t>- 2921,6 млн. руб.;</w:t>
      </w:r>
    </w:p>
    <w:p w:rsidR="00F0508A" w:rsidRPr="001B38A4" w:rsidRDefault="00F0508A" w:rsidP="00F0508A">
      <w:pPr>
        <w:ind w:firstLine="708"/>
        <w:jc w:val="both"/>
        <w:rPr>
          <w:sz w:val="28"/>
          <w:szCs w:val="28"/>
        </w:rPr>
      </w:pPr>
      <w:r w:rsidRPr="001B38A4">
        <w:rPr>
          <w:sz w:val="28"/>
          <w:szCs w:val="28"/>
        </w:rPr>
        <w:t>- «Общее образование» - 2680,7 млн. руб.;</w:t>
      </w:r>
    </w:p>
    <w:p w:rsidR="00F0508A" w:rsidRPr="001B38A4" w:rsidRDefault="00F0508A" w:rsidP="00F0508A">
      <w:pPr>
        <w:ind w:firstLine="708"/>
        <w:jc w:val="both"/>
        <w:rPr>
          <w:sz w:val="28"/>
          <w:szCs w:val="28"/>
        </w:rPr>
      </w:pPr>
      <w:r w:rsidRPr="001B38A4">
        <w:rPr>
          <w:sz w:val="28"/>
          <w:szCs w:val="28"/>
        </w:rPr>
        <w:t>- «Дополнительное образование детей» - 610,0 млн. руб.;</w:t>
      </w:r>
    </w:p>
    <w:p w:rsidR="00F0508A" w:rsidRPr="001B38A4" w:rsidRDefault="00F0508A" w:rsidP="00F0508A">
      <w:pPr>
        <w:ind w:firstLine="708"/>
        <w:jc w:val="both"/>
        <w:rPr>
          <w:sz w:val="28"/>
          <w:szCs w:val="28"/>
        </w:rPr>
      </w:pPr>
      <w:r w:rsidRPr="001B38A4">
        <w:rPr>
          <w:sz w:val="28"/>
          <w:szCs w:val="28"/>
        </w:rPr>
        <w:t>-  «Молодежная политика» - 36,6 млн. руб.;</w:t>
      </w:r>
    </w:p>
    <w:p w:rsidR="00F0508A" w:rsidRPr="001B38A4" w:rsidRDefault="00F0508A" w:rsidP="00F0508A">
      <w:pPr>
        <w:ind w:firstLine="708"/>
        <w:jc w:val="both"/>
        <w:rPr>
          <w:sz w:val="28"/>
          <w:szCs w:val="28"/>
        </w:rPr>
      </w:pPr>
      <w:r w:rsidRPr="001B38A4">
        <w:rPr>
          <w:sz w:val="28"/>
          <w:szCs w:val="28"/>
        </w:rPr>
        <w:t>-  «Другие вопросы в области образования» - 103,1 млн. рублей.</w:t>
      </w:r>
    </w:p>
    <w:p w:rsidR="00F0508A" w:rsidRPr="00926F2B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Доля расходов данной отрасли в общем объеме расходов бюджета на 20</w:t>
      </w:r>
      <w:r>
        <w:rPr>
          <w:sz w:val="28"/>
          <w:szCs w:val="28"/>
        </w:rPr>
        <w:t>20</w:t>
      </w:r>
      <w:r w:rsidRPr="00926F2B">
        <w:rPr>
          <w:sz w:val="28"/>
          <w:szCs w:val="28"/>
        </w:rPr>
        <w:t xml:space="preserve"> год составляет </w:t>
      </w:r>
      <w:r>
        <w:rPr>
          <w:sz w:val="28"/>
          <w:szCs w:val="28"/>
        </w:rPr>
        <w:t>54,5 процента</w:t>
      </w:r>
      <w:r w:rsidRPr="00926F2B">
        <w:rPr>
          <w:sz w:val="28"/>
          <w:szCs w:val="28"/>
        </w:rPr>
        <w:t>.</w:t>
      </w:r>
    </w:p>
    <w:p w:rsidR="00F0508A" w:rsidRPr="00926F2B" w:rsidRDefault="00753053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проекта бюджета по отрасли «Образование» осуществлялось в рамках </w:t>
      </w:r>
      <w:r w:rsidR="00F0508A" w:rsidRPr="00926F2B">
        <w:rPr>
          <w:sz w:val="28"/>
          <w:szCs w:val="28"/>
        </w:rPr>
        <w:t>законодательно установленного разграничения полномочий</w:t>
      </w:r>
      <w:r>
        <w:rPr>
          <w:sz w:val="28"/>
          <w:szCs w:val="28"/>
        </w:rPr>
        <w:t xml:space="preserve"> между органами государственной власти субъекта и местного самоуправления</w:t>
      </w:r>
      <w:r w:rsidR="00F0508A" w:rsidRPr="00926F2B">
        <w:rPr>
          <w:sz w:val="28"/>
          <w:szCs w:val="28"/>
        </w:rPr>
        <w:t>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в сфере образования в плановом периоде является реализация Регионального проекта «Содействие занятости женщин – создание условий дошкольного образования для детей в возрасте до трех лет» (национальный проект «Демография») в части создания дополнительных мест для детей</w:t>
      </w:r>
      <w:r w:rsidRPr="00C13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возрасте от 1,5 до 3 лет. В проекте бюджета на 2020 год предусмотрены средства </w:t>
      </w:r>
      <w:r w:rsidRPr="00926F2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строительство детских садов в 32-33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., в районе Лебедянского шоссе, в 30-31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в сумме 407,3 млн. руб., из которых 403,3 млн. руб.- субсидии из вышестоящих бюджетов</w:t>
      </w:r>
      <w:r w:rsidR="00A476D9">
        <w:rPr>
          <w:sz w:val="28"/>
          <w:szCs w:val="28"/>
        </w:rPr>
        <w:t>. Кроме того на</w:t>
      </w:r>
      <w:r w:rsidR="00A476D9" w:rsidRPr="00A476D9">
        <w:rPr>
          <w:sz w:val="28"/>
          <w:szCs w:val="28"/>
        </w:rPr>
        <w:t xml:space="preserve"> </w:t>
      </w:r>
      <w:r w:rsidR="00A476D9">
        <w:rPr>
          <w:sz w:val="28"/>
          <w:szCs w:val="28"/>
        </w:rPr>
        <w:t>строительство корпуса для ДОУ №113 направлено 1,3 млн. рублей</w:t>
      </w:r>
      <w:r>
        <w:rPr>
          <w:sz w:val="28"/>
          <w:szCs w:val="28"/>
        </w:rPr>
        <w:t>.</w:t>
      </w:r>
    </w:p>
    <w:p w:rsidR="00F0508A" w:rsidRPr="00926F2B" w:rsidRDefault="00F0508A" w:rsidP="00F0508A">
      <w:pPr>
        <w:ind w:firstLine="708"/>
        <w:jc w:val="both"/>
        <w:rPr>
          <w:sz w:val="28"/>
          <w:szCs w:val="28"/>
        </w:rPr>
      </w:pPr>
      <w:proofErr w:type="gramStart"/>
      <w:r w:rsidRPr="00926F2B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 xml:space="preserve"> бюджетов вышестоящих уровней в данной отрасли занимают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69,4</w:t>
      </w:r>
      <w:r w:rsidRPr="00926F2B">
        <w:rPr>
          <w:sz w:val="28"/>
          <w:szCs w:val="28"/>
        </w:rPr>
        <w:t xml:space="preserve"> %  или </w:t>
      </w:r>
      <w:r>
        <w:rPr>
          <w:sz w:val="28"/>
          <w:szCs w:val="28"/>
        </w:rPr>
        <w:t xml:space="preserve"> 4409,2 </w:t>
      </w:r>
      <w:r w:rsidRPr="00926F2B">
        <w:rPr>
          <w:sz w:val="28"/>
          <w:szCs w:val="28"/>
        </w:rPr>
        <w:t xml:space="preserve"> млн. руб., </w:t>
      </w:r>
      <w:r>
        <w:rPr>
          <w:sz w:val="28"/>
          <w:szCs w:val="28"/>
        </w:rPr>
        <w:t xml:space="preserve">  которые</w:t>
      </w:r>
      <w:r w:rsidRPr="00926F2B">
        <w:rPr>
          <w:sz w:val="28"/>
          <w:szCs w:val="28"/>
        </w:rPr>
        <w:t xml:space="preserve"> направляются  на финансовое обеспечение государственных гарантий реализации прав на получение общедоступного и бесплатного дошкольного, общего  образования в муниципальных образовательных организациях, включая расходы на оплату труда, приобретение учебников и учебных пособий, средств обучения, игр, игрушек, а также прочие расходы.</w:t>
      </w:r>
      <w:proofErr w:type="gramEnd"/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Pr="00926F2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  запланированы расходы в</w:t>
      </w:r>
      <w:r w:rsidRPr="00926F2B">
        <w:rPr>
          <w:sz w:val="28"/>
          <w:szCs w:val="28"/>
        </w:rPr>
        <w:t xml:space="preserve"> сумм</w:t>
      </w:r>
      <w:r>
        <w:rPr>
          <w:sz w:val="28"/>
          <w:szCs w:val="28"/>
        </w:rPr>
        <w:t>е 1942,8</w:t>
      </w:r>
      <w:r w:rsidRPr="00926F2B">
        <w:rPr>
          <w:sz w:val="28"/>
          <w:szCs w:val="28"/>
        </w:rPr>
        <w:t xml:space="preserve">  млн.</w:t>
      </w: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>руб.</w:t>
      </w:r>
      <w:r>
        <w:rPr>
          <w:sz w:val="28"/>
          <w:szCs w:val="28"/>
        </w:rPr>
        <w:t>,  которые  будут направлены на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предоставления дополнительного образования детям, </w:t>
      </w:r>
      <w:r w:rsidRPr="00926F2B">
        <w:rPr>
          <w:sz w:val="28"/>
          <w:szCs w:val="28"/>
        </w:rPr>
        <w:t>созда</w:t>
      </w:r>
      <w:r>
        <w:rPr>
          <w:sz w:val="28"/>
          <w:szCs w:val="28"/>
        </w:rPr>
        <w:t xml:space="preserve">ние </w:t>
      </w:r>
      <w:r w:rsidRPr="00926F2B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926F2B">
        <w:rPr>
          <w:sz w:val="28"/>
          <w:szCs w:val="28"/>
        </w:rPr>
        <w:t xml:space="preserve"> для осуществления </w:t>
      </w:r>
      <w:r w:rsidRPr="00926F2B">
        <w:rPr>
          <w:sz w:val="28"/>
          <w:szCs w:val="28"/>
        </w:rPr>
        <w:lastRenderedPageBreak/>
        <w:t>присмотра и ухода за детьми, обеспеч</w:t>
      </w:r>
      <w:r>
        <w:rPr>
          <w:sz w:val="28"/>
          <w:szCs w:val="28"/>
        </w:rPr>
        <w:t>ение</w:t>
      </w:r>
      <w:r w:rsidRPr="00926F2B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Pr="00926F2B">
        <w:rPr>
          <w:sz w:val="28"/>
          <w:szCs w:val="28"/>
        </w:rPr>
        <w:t xml:space="preserve"> зданий и сооружений муниципальных образовательных организаций. </w:t>
      </w:r>
    </w:p>
    <w:p w:rsidR="00F0508A" w:rsidRPr="00DC0977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расходов на дошкольное образование размер родительской платы за</w:t>
      </w:r>
      <w:r w:rsidRPr="001A761F">
        <w:rPr>
          <w:color w:val="FF0000"/>
          <w:sz w:val="28"/>
          <w:szCs w:val="28"/>
        </w:rPr>
        <w:t xml:space="preserve"> </w:t>
      </w:r>
      <w:r w:rsidRPr="00DC0977">
        <w:rPr>
          <w:sz w:val="28"/>
          <w:szCs w:val="28"/>
        </w:rPr>
        <w:t xml:space="preserve">присмотр и уход за детьми в муниципальных образовательных учреждениях  </w:t>
      </w:r>
      <w:r>
        <w:rPr>
          <w:sz w:val="28"/>
          <w:szCs w:val="28"/>
        </w:rPr>
        <w:t xml:space="preserve">сохранен на </w:t>
      </w:r>
      <w:r w:rsidRPr="00DC0977">
        <w:rPr>
          <w:sz w:val="28"/>
          <w:szCs w:val="28"/>
        </w:rPr>
        <w:t xml:space="preserve"> уровне  201</w:t>
      </w:r>
      <w:r>
        <w:rPr>
          <w:sz w:val="28"/>
          <w:szCs w:val="28"/>
        </w:rPr>
        <w:t>9</w:t>
      </w:r>
      <w:r w:rsidRPr="00DC09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что соответствует </w:t>
      </w:r>
      <w:r w:rsidRPr="00DC0977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максимальному размеру родительской платы, установленному в настоящее время администрацией Липецкой области  - 2044</w:t>
      </w:r>
      <w:r w:rsidRPr="00DC0977">
        <w:rPr>
          <w:sz w:val="28"/>
          <w:szCs w:val="28"/>
        </w:rPr>
        <w:t xml:space="preserve"> рублей в месяц. </w:t>
      </w:r>
      <w:r>
        <w:rPr>
          <w:sz w:val="28"/>
          <w:szCs w:val="28"/>
        </w:rPr>
        <w:t>Денежная  норма питания,  также сохранена на уровне текущего года - 111 руб.,  что позволит   выполнять натуральные нормы питания детей на уровне 92%.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926F2B">
        <w:rPr>
          <w:sz w:val="28"/>
          <w:szCs w:val="28"/>
        </w:rPr>
        <w:t xml:space="preserve"> году  предусмотрена субсидия на возмещение части затрат физическим лицам, имеющим детей дошкольного возраста, не обеспеченных местами в муниципальных образовательных учреждениях и посещающих частную образовательную организацию  в сумме </w:t>
      </w:r>
      <w:r>
        <w:rPr>
          <w:sz w:val="28"/>
          <w:szCs w:val="28"/>
        </w:rPr>
        <w:t>2,7</w:t>
      </w:r>
      <w:r w:rsidRPr="00926F2B">
        <w:rPr>
          <w:sz w:val="28"/>
          <w:szCs w:val="28"/>
        </w:rPr>
        <w:t xml:space="preserve"> млн. рублей.  Данные меры направлены на развитие негосударственного сектора в дошкольном образовании.</w:t>
      </w:r>
      <w:r>
        <w:rPr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 </w:t>
      </w:r>
    </w:p>
    <w:p w:rsidR="00F0508A" w:rsidRPr="00926F2B" w:rsidRDefault="00F0508A" w:rsidP="00F0508A">
      <w:pPr>
        <w:ind w:firstLine="708"/>
        <w:jc w:val="both"/>
        <w:rPr>
          <w:sz w:val="28"/>
          <w:szCs w:val="28"/>
        </w:rPr>
      </w:pP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По разделу </w:t>
      </w:r>
      <w:r w:rsidRPr="00926F2B">
        <w:rPr>
          <w:b/>
          <w:bCs/>
          <w:sz w:val="28"/>
          <w:szCs w:val="28"/>
        </w:rPr>
        <w:t>«Культура</w:t>
      </w:r>
      <w:r>
        <w:rPr>
          <w:b/>
          <w:bCs/>
          <w:sz w:val="28"/>
          <w:szCs w:val="28"/>
        </w:rPr>
        <w:t xml:space="preserve">, </w:t>
      </w:r>
      <w:r w:rsidRPr="00926F2B">
        <w:rPr>
          <w:b/>
          <w:bCs/>
          <w:sz w:val="28"/>
          <w:szCs w:val="28"/>
        </w:rPr>
        <w:t xml:space="preserve"> кинематография» </w:t>
      </w:r>
      <w:r w:rsidRPr="00926F2B">
        <w:rPr>
          <w:sz w:val="28"/>
          <w:szCs w:val="28"/>
        </w:rPr>
        <w:t xml:space="preserve">бюджетные ассигнования запланированы в сумме </w:t>
      </w:r>
      <w:r>
        <w:rPr>
          <w:sz w:val="28"/>
          <w:szCs w:val="28"/>
        </w:rPr>
        <w:t>431,5</w:t>
      </w:r>
      <w:r w:rsidRPr="00926F2B">
        <w:rPr>
          <w:sz w:val="28"/>
          <w:szCs w:val="28"/>
        </w:rPr>
        <w:t xml:space="preserve"> млн. руб., с уменьшением к уточненному плану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10,2</w:t>
      </w:r>
      <w:r w:rsidRPr="00926F2B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>49,2</w:t>
      </w:r>
      <w:r w:rsidRPr="00926F2B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расходов по данному разделу в общем объеме расходов бюджета </w:t>
      </w:r>
      <w:r w:rsidRPr="00926F2B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926F2B">
        <w:rPr>
          <w:sz w:val="28"/>
          <w:szCs w:val="28"/>
        </w:rPr>
        <w:t xml:space="preserve">  году </w:t>
      </w:r>
      <w:r>
        <w:rPr>
          <w:sz w:val="28"/>
          <w:szCs w:val="28"/>
        </w:rPr>
        <w:t>составит 3,7 процента.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по данному разделу направляются на создание условий для организации досуга и обеспечения жителей города Липецка услугами организаций культуры.</w:t>
      </w:r>
    </w:p>
    <w:p w:rsidR="00F0508A" w:rsidRPr="00926F2B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Все расходы по разделу </w:t>
      </w:r>
      <w:r>
        <w:rPr>
          <w:sz w:val="28"/>
          <w:szCs w:val="28"/>
        </w:rPr>
        <w:t>финансируются в рамках двух</w:t>
      </w:r>
      <w:r w:rsidRPr="00926F2B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926F2B">
        <w:rPr>
          <w:sz w:val="28"/>
          <w:szCs w:val="28"/>
        </w:rPr>
        <w:t xml:space="preserve"> программ:</w:t>
      </w:r>
    </w:p>
    <w:p w:rsidR="00F0508A" w:rsidRPr="00926F2B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>- «Развитие куль</w:t>
      </w:r>
      <w:r>
        <w:rPr>
          <w:sz w:val="28"/>
          <w:szCs w:val="28"/>
        </w:rPr>
        <w:t>туры и туризма в городе Липецке»</w:t>
      </w:r>
      <w:r w:rsidRPr="00926F2B">
        <w:rPr>
          <w:sz w:val="28"/>
          <w:szCs w:val="28"/>
        </w:rPr>
        <w:t xml:space="preserve"> - </w:t>
      </w:r>
      <w:r>
        <w:rPr>
          <w:sz w:val="28"/>
          <w:szCs w:val="28"/>
        </w:rPr>
        <w:t>431,1</w:t>
      </w:r>
      <w:r w:rsidRPr="00926F2B">
        <w:rPr>
          <w:sz w:val="28"/>
          <w:szCs w:val="28"/>
        </w:rPr>
        <w:t xml:space="preserve"> млн. руб. (99,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>%);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- «Развитие жилищно-коммунального хозяйства города Липецка» - </w:t>
      </w:r>
      <w:r>
        <w:rPr>
          <w:sz w:val="28"/>
          <w:szCs w:val="28"/>
        </w:rPr>
        <w:t>0,4</w:t>
      </w:r>
      <w:r w:rsidRPr="00926F2B">
        <w:rPr>
          <w:sz w:val="28"/>
          <w:szCs w:val="28"/>
        </w:rPr>
        <w:t xml:space="preserve"> млн. руб. (0,</w:t>
      </w:r>
      <w:r>
        <w:rPr>
          <w:sz w:val="28"/>
          <w:szCs w:val="28"/>
        </w:rPr>
        <w:t>1</w:t>
      </w:r>
      <w:r w:rsidRPr="00926F2B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26F2B">
        <w:rPr>
          <w:sz w:val="28"/>
          <w:szCs w:val="28"/>
        </w:rPr>
        <w:t>юджетны</w:t>
      </w:r>
      <w:r>
        <w:rPr>
          <w:sz w:val="28"/>
          <w:szCs w:val="28"/>
        </w:rPr>
        <w:t>е инвестиции</w:t>
      </w:r>
      <w:r w:rsidRPr="00926F2B">
        <w:rPr>
          <w:sz w:val="28"/>
          <w:szCs w:val="28"/>
        </w:rPr>
        <w:t xml:space="preserve"> в объекты сферы </w:t>
      </w:r>
      <w:r>
        <w:rPr>
          <w:sz w:val="28"/>
          <w:szCs w:val="28"/>
        </w:rPr>
        <w:t xml:space="preserve">культуры  не </w:t>
      </w:r>
      <w:r w:rsidRPr="00926F2B">
        <w:rPr>
          <w:sz w:val="28"/>
          <w:szCs w:val="28"/>
        </w:rPr>
        <w:t xml:space="preserve"> запланированы</w:t>
      </w:r>
      <w:r>
        <w:rPr>
          <w:sz w:val="28"/>
          <w:szCs w:val="28"/>
        </w:rPr>
        <w:t>.</w:t>
      </w:r>
    </w:p>
    <w:p w:rsidR="00F0508A" w:rsidRPr="00926F2B" w:rsidRDefault="00F0508A" w:rsidP="00F0508A">
      <w:pPr>
        <w:ind w:firstLine="708"/>
        <w:jc w:val="both"/>
        <w:rPr>
          <w:sz w:val="28"/>
          <w:szCs w:val="28"/>
        </w:rPr>
      </w:pP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разделу  </w:t>
      </w:r>
      <w:r w:rsidRPr="00926F2B">
        <w:rPr>
          <w:b/>
          <w:bCs/>
          <w:sz w:val="28"/>
          <w:szCs w:val="28"/>
        </w:rPr>
        <w:t xml:space="preserve">«Социальная политика» </w:t>
      </w:r>
      <w:r w:rsidRPr="00926F2B">
        <w:rPr>
          <w:sz w:val="28"/>
          <w:szCs w:val="28"/>
        </w:rPr>
        <w:t>бюджетные ассигнования на 20</w:t>
      </w:r>
      <w:r>
        <w:rPr>
          <w:sz w:val="28"/>
          <w:szCs w:val="28"/>
        </w:rPr>
        <w:t>20</w:t>
      </w:r>
      <w:r w:rsidRPr="00926F2B">
        <w:rPr>
          <w:sz w:val="28"/>
          <w:szCs w:val="28"/>
        </w:rPr>
        <w:t xml:space="preserve"> год планируются в сумме </w:t>
      </w:r>
      <w:r>
        <w:rPr>
          <w:sz w:val="28"/>
          <w:szCs w:val="28"/>
        </w:rPr>
        <w:t xml:space="preserve">521,7 </w:t>
      </w:r>
      <w:r w:rsidRPr="00926F2B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 xml:space="preserve">, что  в 1,5 раза превышает </w:t>
      </w:r>
      <w:r w:rsidRPr="00926F2B">
        <w:rPr>
          <w:sz w:val="28"/>
          <w:szCs w:val="28"/>
        </w:rPr>
        <w:t xml:space="preserve"> уточненно</w:t>
      </w:r>
      <w:r>
        <w:rPr>
          <w:sz w:val="28"/>
          <w:szCs w:val="28"/>
        </w:rPr>
        <w:t>й</w:t>
      </w:r>
      <w:r w:rsidRPr="00926F2B">
        <w:rPr>
          <w:sz w:val="28"/>
          <w:szCs w:val="28"/>
        </w:rPr>
        <w:t xml:space="preserve"> бюджет на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Увеличение ассигнований обусловлено отражением в 2020 году в составе раздела социальных выплат на питание обучающимся в образовательных организациях и социальных выплат детям из многодетных семей, обучающимся в общеобразовательных организациях, для обеспечения школьной и спортивной формой. Ранее указанные выплаты отражались по разделу 07 «Образование». </w:t>
      </w:r>
    </w:p>
    <w:p w:rsidR="00104F37" w:rsidRDefault="00F0508A" w:rsidP="00F0508A">
      <w:pPr>
        <w:ind w:firstLine="708"/>
        <w:jc w:val="both"/>
        <w:rPr>
          <w:sz w:val="28"/>
          <w:szCs w:val="28"/>
        </w:rPr>
      </w:pPr>
      <w:proofErr w:type="gramStart"/>
      <w:r w:rsidRPr="001009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исполнения </w:t>
      </w:r>
      <w:r w:rsidRPr="001009D6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009D6">
        <w:rPr>
          <w:sz w:val="28"/>
          <w:szCs w:val="28"/>
        </w:rPr>
        <w:t xml:space="preserve"> «Развитие жилищно-коммунального хозяйства города Липецка» планируются </w:t>
      </w:r>
      <w:r>
        <w:rPr>
          <w:sz w:val="28"/>
          <w:szCs w:val="28"/>
        </w:rPr>
        <w:t>расходы</w:t>
      </w:r>
      <w:r w:rsidRPr="001009D6">
        <w:rPr>
          <w:sz w:val="28"/>
          <w:szCs w:val="28"/>
        </w:rPr>
        <w:t xml:space="preserve"> </w:t>
      </w:r>
      <w:r>
        <w:rPr>
          <w:sz w:val="28"/>
          <w:szCs w:val="28"/>
        </w:rPr>
        <w:t>на исполнение полномочий  по</w:t>
      </w:r>
      <w:r w:rsidRPr="001009D6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</w:t>
      </w:r>
      <w:r w:rsidRPr="001009D6">
        <w:rPr>
          <w:sz w:val="28"/>
          <w:szCs w:val="28"/>
        </w:rPr>
        <w:t xml:space="preserve"> жильем  отдельных категорий граждан</w:t>
      </w:r>
      <w:r>
        <w:rPr>
          <w:sz w:val="28"/>
          <w:szCs w:val="28"/>
        </w:rPr>
        <w:t xml:space="preserve">, установленных Федеральными  законами «О ветеранах» и  «О социальной </w:t>
      </w:r>
      <w:r>
        <w:rPr>
          <w:sz w:val="28"/>
          <w:szCs w:val="28"/>
        </w:rPr>
        <w:lastRenderedPageBreak/>
        <w:t>защите инвалидов в РФ» в общей  в сумме 17,5 млн. руб.</w:t>
      </w:r>
      <w:r w:rsidRPr="001009D6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позволит </w:t>
      </w:r>
      <w:r w:rsidRPr="001009D6">
        <w:rPr>
          <w:sz w:val="28"/>
          <w:szCs w:val="28"/>
        </w:rPr>
        <w:t xml:space="preserve"> </w:t>
      </w:r>
      <w:r w:rsidRPr="007571C8">
        <w:rPr>
          <w:sz w:val="28"/>
          <w:szCs w:val="28"/>
        </w:rPr>
        <w:t xml:space="preserve">выделить субсидии примерно </w:t>
      </w:r>
      <w:r>
        <w:rPr>
          <w:sz w:val="28"/>
          <w:szCs w:val="28"/>
        </w:rPr>
        <w:t>26</w:t>
      </w:r>
      <w:r w:rsidRPr="007571C8">
        <w:rPr>
          <w:sz w:val="28"/>
          <w:szCs w:val="28"/>
        </w:rPr>
        <w:t xml:space="preserve"> очередникам.</w:t>
      </w:r>
      <w:r w:rsidRPr="008E00E3">
        <w:rPr>
          <w:sz w:val="28"/>
          <w:szCs w:val="28"/>
        </w:rPr>
        <w:t xml:space="preserve"> </w:t>
      </w:r>
      <w:proofErr w:type="gramEnd"/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предусмотрены средства </w:t>
      </w:r>
      <w:r w:rsidRPr="001009D6">
        <w:rPr>
          <w:sz w:val="28"/>
          <w:szCs w:val="28"/>
        </w:rPr>
        <w:t>на поддержку граждан-участников подпрограммы «Ипотечное жилищное кредитование»</w:t>
      </w:r>
      <w:r>
        <w:rPr>
          <w:sz w:val="28"/>
          <w:szCs w:val="28"/>
        </w:rPr>
        <w:t xml:space="preserve"> в сумме 7,0 млн. рублей. Объем финансирования на протяжении ряда лет остается неизменным. 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proofErr w:type="gramStart"/>
      <w:r w:rsidRPr="002C1EFF">
        <w:rPr>
          <w:sz w:val="28"/>
          <w:szCs w:val="28"/>
        </w:rPr>
        <w:t xml:space="preserve">В программе «Развитие образования города Липецка» планируются субвенции </w:t>
      </w:r>
      <w:r>
        <w:rPr>
          <w:sz w:val="28"/>
          <w:szCs w:val="28"/>
        </w:rPr>
        <w:t>на социальные выплаты на питание обучающихся в образовательных организациях (215,7 млн. руб.), выплаты детям из многодетных семей, обучающимся в общеобразовательных организациях, для обеспечения школьной и спортивной формой (24,1 млн. руб.),</w:t>
      </w:r>
      <w:r w:rsidRPr="002C1EFF">
        <w:rPr>
          <w:sz w:val="28"/>
          <w:szCs w:val="28"/>
        </w:rPr>
        <w:t xml:space="preserve"> компенсационные выплаты за </w:t>
      </w:r>
      <w:r>
        <w:rPr>
          <w:sz w:val="28"/>
          <w:szCs w:val="28"/>
        </w:rPr>
        <w:t xml:space="preserve">присмотр и уход за детьми в </w:t>
      </w:r>
      <w:r w:rsidRPr="002C1EFF">
        <w:rPr>
          <w:sz w:val="28"/>
          <w:szCs w:val="28"/>
        </w:rPr>
        <w:t xml:space="preserve"> образовательной организации (</w:t>
      </w:r>
      <w:r>
        <w:rPr>
          <w:sz w:val="28"/>
          <w:szCs w:val="28"/>
        </w:rPr>
        <w:t>74,4</w:t>
      </w:r>
      <w:r w:rsidRPr="002C1EFF">
        <w:rPr>
          <w:sz w:val="28"/>
          <w:szCs w:val="28"/>
        </w:rPr>
        <w:t xml:space="preserve"> млн. руб.), содержание ребенка в семье опекуна и приемной семьи</w:t>
      </w:r>
      <w:proofErr w:type="gramEnd"/>
      <w:r w:rsidRPr="002C1EFF">
        <w:rPr>
          <w:sz w:val="28"/>
          <w:szCs w:val="28"/>
        </w:rPr>
        <w:t>, а также вознаграждение, причитающееся приемному родителю (</w:t>
      </w:r>
      <w:r>
        <w:rPr>
          <w:sz w:val="28"/>
          <w:szCs w:val="28"/>
        </w:rPr>
        <w:t>93,2</w:t>
      </w:r>
      <w:r w:rsidRPr="002C1EFF">
        <w:rPr>
          <w:sz w:val="28"/>
          <w:szCs w:val="28"/>
        </w:rPr>
        <w:t xml:space="preserve"> млн. руб.), ежемесячную </w:t>
      </w:r>
      <w:r>
        <w:rPr>
          <w:sz w:val="28"/>
          <w:szCs w:val="28"/>
        </w:rPr>
        <w:t>социальную</w:t>
      </w:r>
      <w:r w:rsidRPr="002C1EFF">
        <w:rPr>
          <w:sz w:val="28"/>
          <w:szCs w:val="28"/>
        </w:rPr>
        <w:t xml:space="preserve"> выплату в связи с усыновлением ребенка-сироты или ребенка, оставшегося без попечения родителей (</w:t>
      </w:r>
      <w:r>
        <w:rPr>
          <w:sz w:val="28"/>
          <w:szCs w:val="28"/>
        </w:rPr>
        <w:t>7,4</w:t>
      </w:r>
      <w:r w:rsidRPr="002C1EFF">
        <w:rPr>
          <w:sz w:val="28"/>
          <w:szCs w:val="28"/>
        </w:rPr>
        <w:t xml:space="preserve"> млн. руб.), единовременные выплаты детям-сиротам и детям, оставшимся без попечения родителей на ремонт закрепленного жилого помещения (1,0 млн. рублей.)</w:t>
      </w:r>
      <w:r>
        <w:rPr>
          <w:sz w:val="28"/>
          <w:szCs w:val="28"/>
        </w:rPr>
        <w:t>.</w:t>
      </w:r>
    </w:p>
    <w:p w:rsidR="00F0508A" w:rsidRPr="00926F2B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Доля непрограммных расходов по разделу составляет </w:t>
      </w:r>
      <w:r>
        <w:rPr>
          <w:sz w:val="28"/>
          <w:szCs w:val="28"/>
        </w:rPr>
        <w:t>5</w:t>
      </w:r>
      <w:r w:rsidRPr="00926F2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926F2B">
        <w:rPr>
          <w:sz w:val="28"/>
          <w:szCs w:val="28"/>
        </w:rPr>
        <w:t>% (2</w:t>
      </w:r>
      <w:r>
        <w:rPr>
          <w:sz w:val="28"/>
          <w:szCs w:val="28"/>
        </w:rPr>
        <w:t>6,8</w:t>
      </w:r>
      <w:r w:rsidRPr="00926F2B">
        <w:rPr>
          <w:sz w:val="28"/>
          <w:szCs w:val="28"/>
        </w:rPr>
        <w:t xml:space="preserve"> млн. руб.),</w:t>
      </w:r>
      <w:r>
        <w:rPr>
          <w:sz w:val="28"/>
          <w:szCs w:val="28"/>
        </w:rPr>
        <w:t xml:space="preserve"> это расходы,</w:t>
      </w:r>
      <w:r w:rsidRPr="00926F2B">
        <w:rPr>
          <w:sz w:val="28"/>
          <w:szCs w:val="28"/>
        </w:rPr>
        <w:t xml:space="preserve"> направляемые в основном на исполнение переданных полномочий в части содержания численности специалистов, осуществляющих деятельность по опеке и попечительству.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общего объема средств, предусмотренных по данному разделу, расходы, передаваемые из областного бюджета  бюджету города  в виде субвенций, составляют в 2020 году 464,1 млн. руб. (или 89,0</w:t>
      </w:r>
      <w:r w:rsidR="00CC4073">
        <w:rPr>
          <w:sz w:val="28"/>
          <w:szCs w:val="28"/>
        </w:rPr>
        <w:t>%)</w:t>
      </w:r>
      <w:r>
        <w:rPr>
          <w:sz w:val="28"/>
          <w:szCs w:val="28"/>
        </w:rPr>
        <w:t xml:space="preserve">.  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Расходы по разделу  </w:t>
      </w:r>
      <w:r w:rsidRPr="00926F2B">
        <w:rPr>
          <w:b/>
          <w:bCs/>
          <w:sz w:val="28"/>
          <w:szCs w:val="28"/>
        </w:rPr>
        <w:t xml:space="preserve">«Физическая культура и спорт» </w:t>
      </w:r>
      <w:r>
        <w:rPr>
          <w:sz w:val="28"/>
          <w:szCs w:val="28"/>
        </w:rPr>
        <w:t>на 2020</w:t>
      </w:r>
      <w:r w:rsidRPr="00926F2B">
        <w:rPr>
          <w:sz w:val="28"/>
          <w:szCs w:val="28"/>
        </w:rPr>
        <w:t xml:space="preserve"> год планируются в сумме </w:t>
      </w:r>
      <w:r>
        <w:rPr>
          <w:sz w:val="28"/>
          <w:szCs w:val="28"/>
        </w:rPr>
        <w:t>348,5</w:t>
      </w:r>
      <w:r w:rsidRPr="00926F2B">
        <w:rPr>
          <w:sz w:val="28"/>
          <w:szCs w:val="28"/>
        </w:rPr>
        <w:t xml:space="preserve"> млн. руб., что </w:t>
      </w:r>
      <w:r>
        <w:rPr>
          <w:sz w:val="28"/>
          <w:szCs w:val="28"/>
        </w:rPr>
        <w:t xml:space="preserve">превышает 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первоначальные  плановые назначения 2019 года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>в 1,6 раза.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расходов связано с отражением по данному разделу </w:t>
      </w: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на финансовое обеспечение спортивных школ, расходы по которым ранее отражались по подразделу 0703 </w:t>
      </w:r>
      <w:r w:rsidR="00CC4073">
        <w:rPr>
          <w:sz w:val="28"/>
          <w:szCs w:val="28"/>
        </w:rPr>
        <w:t>«</w:t>
      </w:r>
      <w:r>
        <w:rPr>
          <w:sz w:val="28"/>
          <w:szCs w:val="28"/>
        </w:rPr>
        <w:t>Дополнительное образование детей</w:t>
      </w:r>
      <w:r w:rsidR="00CC4073">
        <w:rPr>
          <w:sz w:val="28"/>
          <w:szCs w:val="28"/>
        </w:rPr>
        <w:t>»</w:t>
      </w:r>
      <w:r>
        <w:rPr>
          <w:sz w:val="28"/>
          <w:szCs w:val="28"/>
        </w:rPr>
        <w:t>. Вместе с этим, с января 2020 года три школы олимпийского резерва № 5, 10, 13 планируются к передаче в государственную собственность Липецкой области, в связи с чем, средства на их содержание в проекте бюджета не предусмотрены.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заключением с </w:t>
      </w:r>
      <w:r w:rsidRPr="009751BF">
        <w:rPr>
          <w:sz w:val="28"/>
          <w:szCs w:val="28"/>
        </w:rPr>
        <w:t>ООО «Футбольная академия «ЛКС»  концессионн</w:t>
      </w:r>
      <w:r>
        <w:rPr>
          <w:sz w:val="28"/>
          <w:szCs w:val="28"/>
        </w:rPr>
        <w:t>ого соглашения</w:t>
      </w:r>
      <w:r w:rsidRPr="009751BF">
        <w:rPr>
          <w:sz w:val="28"/>
          <w:szCs w:val="28"/>
        </w:rPr>
        <w:t xml:space="preserve"> о строительстве спортивн</w:t>
      </w:r>
      <w:r>
        <w:rPr>
          <w:sz w:val="28"/>
          <w:szCs w:val="28"/>
        </w:rPr>
        <w:t>ого</w:t>
      </w:r>
      <w:r w:rsidRPr="009751BF">
        <w:rPr>
          <w:sz w:val="28"/>
          <w:szCs w:val="28"/>
        </w:rPr>
        <w:t xml:space="preserve"> зал</w:t>
      </w:r>
      <w:r>
        <w:rPr>
          <w:sz w:val="28"/>
          <w:szCs w:val="28"/>
        </w:rPr>
        <w:t>а</w:t>
      </w:r>
      <w:r w:rsidRPr="009751BF">
        <w:rPr>
          <w:sz w:val="28"/>
          <w:szCs w:val="28"/>
        </w:rPr>
        <w:t xml:space="preserve"> со встроенными вспомогательными помещениями</w:t>
      </w:r>
      <w:r>
        <w:rPr>
          <w:sz w:val="28"/>
          <w:szCs w:val="28"/>
        </w:rPr>
        <w:t xml:space="preserve"> в г. Липецке по </w:t>
      </w:r>
      <w:r w:rsidRPr="006A7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Моршанская</w:t>
      </w:r>
      <w:proofErr w:type="spellEnd"/>
      <w:r>
        <w:rPr>
          <w:sz w:val="28"/>
          <w:szCs w:val="28"/>
        </w:rPr>
        <w:t>,</w:t>
      </w:r>
      <w:r w:rsidRPr="006A7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 22а,  в бюджете города на 2020 год планируются расходы на уплату концессионной платы в размере 6,3 млн. руб., в том ч</w:t>
      </w:r>
      <w:r w:rsidR="00CC4073">
        <w:rPr>
          <w:sz w:val="28"/>
          <w:szCs w:val="28"/>
        </w:rPr>
        <w:t>исле инвестиционный платеж – 5,2</w:t>
      </w:r>
      <w:r>
        <w:rPr>
          <w:sz w:val="28"/>
          <w:szCs w:val="28"/>
        </w:rPr>
        <w:t xml:space="preserve"> млн. руб. и эксплуатационные расходы – 1,1 млн. рублей.</w:t>
      </w:r>
      <w:proofErr w:type="gramEnd"/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бюджете на 2020 год предусмотрены средства на участие в Региональном проекте «Спорт -  норма жизни» (национальный проект </w:t>
      </w:r>
      <w:r>
        <w:rPr>
          <w:sz w:val="28"/>
          <w:szCs w:val="28"/>
        </w:rPr>
        <w:lastRenderedPageBreak/>
        <w:t xml:space="preserve">«Демография») в сумме 8,3 млн. руб., которые в рамках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вышестоящими бюджетами планируется направить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- 3,7 млн. руб.;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спортивного оборудования и инвентаря для проведения организаций спортивной подготовки в нормативное состояние (совершенствование спортивной подготовки по хоккею) – 2,6 млн. руб.; 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объектов спортивной инфраструктуры спортивно-технологическим оборудованием (создание или модернизация футбольных полей</w:t>
      </w:r>
      <w:r w:rsidR="00CC4073">
        <w:rPr>
          <w:sz w:val="28"/>
          <w:szCs w:val="28"/>
        </w:rPr>
        <w:t xml:space="preserve"> с искусственным покрытием</w:t>
      </w:r>
      <w:r>
        <w:rPr>
          <w:sz w:val="28"/>
          <w:szCs w:val="28"/>
        </w:rPr>
        <w:t>) – 1,0 млн. руб.;</w:t>
      </w:r>
    </w:p>
    <w:p w:rsidR="00F0508A" w:rsidRDefault="00F0508A" w:rsidP="00F05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физкультурно-оздоровительного комплекса с бассейном в районе школы № 14 в г. Липецке – 1,0 млн. рублей. </w:t>
      </w:r>
    </w:p>
    <w:p w:rsidR="00F0508A" w:rsidRPr="00A54072" w:rsidRDefault="00F0508A" w:rsidP="00F0508A">
      <w:pPr>
        <w:ind w:firstLine="708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По разделу </w:t>
      </w:r>
      <w:r w:rsidRPr="00926F2B">
        <w:rPr>
          <w:b/>
          <w:sz w:val="28"/>
          <w:szCs w:val="28"/>
        </w:rPr>
        <w:t xml:space="preserve">«Средства массовой информации» </w:t>
      </w:r>
      <w:r w:rsidRPr="00926F2B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926F2B">
        <w:rPr>
          <w:sz w:val="28"/>
          <w:szCs w:val="28"/>
        </w:rPr>
        <w:t xml:space="preserve"> году</w:t>
      </w:r>
      <w:r w:rsidRPr="00926F2B">
        <w:rPr>
          <w:b/>
          <w:sz w:val="28"/>
          <w:szCs w:val="28"/>
        </w:rPr>
        <w:t xml:space="preserve"> </w:t>
      </w:r>
      <w:r w:rsidRPr="00926F2B">
        <w:rPr>
          <w:sz w:val="28"/>
          <w:szCs w:val="28"/>
        </w:rPr>
        <w:t xml:space="preserve">планируются бюджетные средства  в сумме </w:t>
      </w:r>
      <w:r>
        <w:rPr>
          <w:sz w:val="28"/>
          <w:szCs w:val="28"/>
        </w:rPr>
        <w:t>19,4</w:t>
      </w:r>
      <w:r w:rsidRPr="00926F2B">
        <w:rPr>
          <w:sz w:val="28"/>
          <w:szCs w:val="28"/>
        </w:rPr>
        <w:t xml:space="preserve"> млн. руб., что </w:t>
      </w:r>
      <w:r>
        <w:rPr>
          <w:sz w:val="28"/>
          <w:szCs w:val="28"/>
        </w:rPr>
        <w:t>меньше уточненных</w:t>
      </w:r>
      <w:r w:rsidRPr="00926F2B">
        <w:rPr>
          <w:sz w:val="28"/>
          <w:szCs w:val="28"/>
        </w:rPr>
        <w:t xml:space="preserve"> плановых назначений 201</w:t>
      </w:r>
      <w:r>
        <w:rPr>
          <w:sz w:val="28"/>
          <w:szCs w:val="28"/>
        </w:rPr>
        <w:t>9</w:t>
      </w:r>
      <w:r w:rsidRPr="00926F2B">
        <w:rPr>
          <w:sz w:val="28"/>
          <w:szCs w:val="28"/>
        </w:rPr>
        <w:t xml:space="preserve"> года на</w:t>
      </w:r>
      <w:r>
        <w:rPr>
          <w:sz w:val="28"/>
          <w:szCs w:val="28"/>
        </w:rPr>
        <w:t xml:space="preserve"> 12,2</w:t>
      </w:r>
      <w:r w:rsidRPr="00926F2B">
        <w:rPr>
          <w:sz w:val="28"/>
          <w:szCs w:val="28"/>
        </w:rPr>
        <w:t xml:space="preserve">% (на </w:t>
      </w:r>
      <w:r>
        <w:rPr>
          <w:sz w:val="28"/>
          <w:szCs w:val="28"/>
        </w:rPr>
        <w:t>2,7</w:t>
      </w:r>
      <w:r w:rsidRPr="00926F2B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.).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r w:rsidRPr="00926F2B">
        <w:rPr>
          <w:sz w:val="28"/>
          <w:szCs w:val="28"/>
        </w:rPr>
        <w:t xml:space="preserve">  Все расходы по разделу учтены  в муниципальной программе «Липецк – мы вместе!» и направлены на выполнение муниципа</w:t>
      </w:r>
      <w:r>
        <w:rPr>
          <w:sz w:val="28"/>
          <w:szCs w:val="28"/>
        </w:rPr>
        <w:t>льного задания МАИУ «Мой город</w:t>
      </w:r>
      <w:r w:rsidRPr="00926F2B">
        <w:rPr>
          <w:sz w:val="28"/>
          <w:szCs w:val="28"/>
        </w:rPr>
        <w:t xml:space="preserve"> Липецк» по подразделу </w:t>
      </w:r>
      <w:r w:rsidRPr="00926F2B">
        <w:rPr>
          <w:i/>
          <w:sz w:val="28"/>
          <w:szCs w:val="28"/>
        </w:rPr>
        <w:t>«Периодическая печать и издательство»</w:t>
      </w:r>
      <w:r w:rsidRPr="00926F2B">
        <w:rPr>
          <w:sz w:val="28"/>
          <w:szCs w:val="28"/>
        </w:rPr>
        <w:t>.</w:t>
      </w:r>
    </w:p>
    <w:p w:rsidR="00F0508A" w:rsidRDefault="00F0508A" w:rsidP="00F0508A">
      <w:pPr>
        <w:ind w:firstLine="709"/>
        <w:jc w:val="both"/>
        <w:rPr>
          <w:sz w:val="28"/>
          <w:szCs w:val="28"/>
        </w:rPr>
      </w:pPr>
    </w:p>
    <w:p w:rsidR="00F0508A" w:rsidRDefault="00F0508A" w:rsidP="00F0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Расходные обязательства на </w:t>
      </w:r>
      <w:r w:rsidRPr="00125462">
        <w:rPr>
          <w:b/>
          <w:sz w:val="28"/>
          <w:szCs w:val="28"/>
        </w:rPr>
        <w:t>«Обслуживание государственного и муниципального долга»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2020 году составят 185,2 млн. руб., что на 9,1 млн. руб. (или на 5,1%)  превышает текущий год и обусловлено планируемым привлечением в 2020 году  кредитов для  обеспечения финансирования дефицита бюджета.</w:t>
      </w:r>
    </w:p>
    <w:p w:rsidR="00456D70" w:rsidRDefault="00E11A50" w:rsidP="008716C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4EDA" w:rsidRDefault="00104F37" w:rsidP="00584E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84EDA">
        <w:rPr>
          <w:b/>
          <w:sz w:val="28"/>
          <w:szCs w:val="28"/>
        </w:rPr>
        <w:t>Выводы и предложения</w:t>
      </w:r>
    </w:p>
    <w:p w:rsidR="00584EDA" w:rsidRDefault="00584EDA" w:rsidP="00584EDA">
      <w:pPr>
        <w:ind w:firstLine="709"/>
        <w:jc w:val="center"/>
        <w:rPr>
          <w:b/>
          <w:sz w:val="28"/>
          <w:szCs w:val="28"/>
        </w:rPr>
      </w:pP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экспертизы проекта бюджета города Липецка</w:t>
      </w:r>
      <w:proofErr w:type="gramEnd"/>
      <w:r>
        <w:rPr>
          <w:sz w:val="28"/>
          <w:szCs w:val="28"/>
        </w:rPr>
        <w:t xml:space="preserve"> на 2020</w:t>
      </w:r>
      <w:r w:rsidR="00104F37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плановый период 2021 и 2022 годов Счетная палата отмечает следующее.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внесен на рассмотрение Липецкого городского Совета депутатов в установленный срок, в полном объеме и содержит все основные параметры необходимые для принятия Решения о бюджете города, установленные статьей 184.1 Бюджетного кодекса РФ и статьей 49 Положения «Об основах бюджетного устройства и бюджетного процесса в городе Липецке».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04F37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прогнозах наблюдается замедление темпов роста основных показателей</w:t>
      </w:r>
      <w:r w:rsidR="00CC4073">
        <w:rPr>
          <w:sz w:val="28"/>
          <w:szCs w:val="28"/>
        </w:rPr>
        <w:t xml:space="preserve"> экономического развития города</w:t>
      </w:r>
      <w:r w:rsidR="00104F37">
        <w:rPr>
          <w:sz w:val="28"/>
          <w:szCs w:val="28"/>
        </w:rPr>
        <w:t>,</w:t>
      </w:r>
      <w:r>
        <w:rPr>
          <w:sz w:val="28"/>
          <w:szCs w:val="28"/>
        </w:rPr>
        <w:t xml:space="preserve"> при сохранении </w:t>
      </w:r>
      <w:proofErr w:type="gramStart"/>
      <w:r>
        <w:rPr>
          <w:sz w:val="28"/>
          <w:szCs w:val="28"/>
        </w:rPr>
        <w:t>темпов роста фонда оплаты труда</w:t>
      </w:r>
      <w:proofErr w:type="gramEnd"/>
      <w:r>
        <w:rPr>
          <w:sz w:val="28"/>
          <w:szCs w:val="28"/>
        </w:rPr>
        <w:t>. Соотношение основных макроэкономических показателей свидетельствует о начальных признаках кризисных явлений в экономике города.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Размеры дефицита бюджета, муниципального долга, резервного фонда не превышают предельных соотношений, определенных Бюджетным кодексом РФ.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предусмотренных расходов соответствует суммарному объему доходов и источников финансирования дефицита бюджета, т.е. соблюдается принцип сбалансированности бюджета.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инфляционные процессы, объем собственных доходов бюджета на протяжении ряда последних лет остается практически неизменным,  порядка 4,5 – 5,0 млрд. руб., что увеличивает зависимость бюджета города от бюджетов других уровней и заемных средств.</w:t>
      </w:r>
    </w:p>
    <w:p w:rsidR="00584EDA" w:rsidRDefault="00597CBC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спрогнозирован на основании утвержденных методик, при этом в </w:t>
      </w:r>
      <w:r w:rsidR="00584EDA">
        <w:rPr>
          <w:sz w:val="28"/>
          <w:szCs w:val="28"/>
        </w:rPr>
        <w:t xml:space="preserve"> методиках формирования доходов, получаемых от сдачи в аренду имущества и земельн</w:t>
      </w:r>
      <w:r>
        <w:rPr>
          <w:sz w:val="28"/>
          <w:szCs w:val="28"/>
        </w:rPr>
        <w:t>ых</w:t>
      </w:r>
      <w:r w:rsidR="00584ED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584EDA">
        <w:rPr>
          <w:sz w:val="28"/>
          <w:szCs w:val="28"/>
        </w:rPr>
        <w:t>, применяется некорректный пересчет на коэффициент собираемости</w:t>
      </w:r>
      <w:r w:rsidR="00104F37">
        <w:rPr>
          <w:sz w:val="28"/>
          <w:szCs w:val="28"/>
        </w:rPr>
        <w:t xml:space="preserve"> сумм, планируемых к поступлению из задолженности</w:t>
      </w:r>
      <w:r w:rsidR="00584EDA">
        <w:rPr>
          <w:sz w:val="28"/>
          <w:szCs w:val="28"/>
        </w:rPr>
        <w:t xml:space="preserve">. 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по каждому доходному источнику имеется резерв поступлений в виде неоплаченной задолженности, а общая сумма недоимки  по налоговым и неналоговым платежам на 01.10.2019 г</w:t>
      </w:r>
      <w:r w:rsidR="00D267C3">
        <w:rPr>
          <w:sz w:val="28"/>
          <w:szCs w:val="28"/>
        </w:rPr>
        <w:t>ода составляла 253,3 млн. руб</w:t>
      </w:r>
      <w:r>
        <w:rPr>
          <w:sz w:val="28"/>
          <w:szCs w:val="28"/>
        </w:rPr>
        <w:t>.</w:t>
      </w:r>
      <w:r w:rsidR="00CC4073">
        <w:rPr>
          <w:sz w:val="28"/>
          <w:szCs w:val="28"/>
        </w:rPr>
        <w:t>,</w:t>
      </w:r>
      <w:r>
        <w:rPr>
          <w:sz w:val="28"/>
          <w:szCs w:val="28"/>
        </w:rPr>
        <w:t xml:space="preserve"> значительная доля </w:t>
      </w:r>
      <w:r w:rsidR="00D267C3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нереальна к взысканию. Кроме того</w:t>
      </w:r>
      <w:r w:rsidR="00D267C3">
        <w:rPr>
          <w:sz w:val="28"/>
          <w:szCs w:val="28"/>
        </w:rPr>
        <w:t>,</w:t>
      </w:r>
      <w:r>
        <w:rPr>
          <w:sz w:val="28"/>
          <w:szCs w:val="28"/>
        </w:rPr>
        <w:t xml:space="preserve"> резервом поступлений </w:t>
      </w:r>
      <w:r w:rsidR="00104F37">
        <w:rPr>
          <w:sz w:val="28"/>
          <w:szCs w:val="28"/>
        </w:rPr>
        <w:t xml:space="preserve">земельных </w:t>
      </w:r>
      <w:r>
        <w:rPr>
          <w:sz w:val="28"/>
          <w:szCs w:val="28"/>
        </w:rPr>
        <w:t xml:space="preserve">платежей является выявление </w:t>
      </w:r>
      <w:r w:rsidRPr="00E8532A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 xml:space="preserve">, используемых </w:t>
      </w:r>
      <w:r w:rsidRPr="00E8532A">
        <w:rPr>
          <w:sz w:val="28"/>
          <w:szCs w:val="28"/>
        </w:rPr>
        <w:t>без правоустанавливающих документов</w:t>
      </w:r>
      <w:r>
        <w:rPr>
          <w:sz w:val="28"/>
          <w:szCs w:val="28"/>
        </w:rPr>
        <w:t xml:space="preserve">, а также </w:t>
      </w:r>
      <w:r w:rsidRPr="00E8532A">
        <w:rPr>
          <w:sz w:val="28"/>
          <w:szCs w:val="28"/>
        </w:rPr>
        <w:t xml:space="preserve"> проведение работы по пересмотру ставок арендной платы</w:t>
      </w:r>
      <w:r>
        <w:rPr>
          <w:sz w:val="28"/>
          <w:szCs w:val="28"/>
        </w:rPr>
        <w:t xml:space="preserve"> за землю</w:t>
      </w:r>
      <w:r w:rsidRPr="00E8532A">
        <w:rPr>
          <w:sz w:val="28"/>
          <w:szCs w:val="28"/>
        </w:rPr>
        <w:t>.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Существует вероятность </w:t>
      </w:r>
      <w:r w:rsidR="00BC77BB">
        <w:rPr>
          <w:sz w:val="28"/>
          <w:szCs w:val="28"/>
        </w:rPr>
        <w:t>увеличения в течени</w:t>
      </w:r>
      <w:proofErr w:type="gramStart"/>
      <w:r w:rsidR="00BC77BB">
        <w:rPr>
          <w:sz w:val="28"/>
          <w:szCs w:val="28"/>
        </w:rPr>
        <w:t>и</w:t>
      </w:r>
      <w:proofErr w:type="gramEnd"/>
      <w:r w:rsidR="00BC77BB">
        <w:rPr>
          <w:sz w:val="28"/>
          <w:szCs w:val="28"/>
        </w:rPr>
        <w:t xml:space="preserve"> года прогноза поступлений НДФЛ и </w:t>
      </w:r>
      <w:r>
        <w:rPr>
          <w:sz w:val="28"/>
          <w:szCs w:val="28"/>
        </w:rPr>
        <w:t>средств от приватизации пакетов акций, начатой в 2019 году.</w:t>
      </w:r>
    </w:p>
    <w:p w:rsidR="00584EDA" w:rsidRDefault="005E1D9D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долговых обязательств установлено</w:t>
      </w:r>
      <w:r w:rsidR="00584EDA">
        <w:rPr>
          <w:sz w:val="28"/>
          <w:szCs w:val="28"/>
        </w:rPr>
        <w:t xml:space="preserve"> несоответствие бюджетных ассигнований,  предусмотренных на исполнение гарантий по возможным гарантийным случаям на 2021 год</w:t>
      </w:r>
      <w:r w:rsidR="00104F37">
        <w:rPr>
          <w:sz w:val="28"/>
          <w:szCs w:val="28"/>
        </w:rPr>
        <w:t>,</w:t>
      </w:r>
      <w:r w:rsidR="00584EDA">
        <w:rPr>
          <w:sz w:val="28"/>
          <w:szCs w:val="28"/>
        </w:rPr>
        <w:t xml:space="preserve"> объему муниципального долга по гарантии, срок действия которой заканчивается в том же году, что свидетельствует об отсутствии последовательности совершений операций по списанию долговых обязательств.</w:t>
      </w:r>
    </w:p>
    <w:p w:rsidR="00584EDA" w:rsidRPr="008716CA" w:rsidRDefault="00584EDA" w:rsidP="00584EDA">
      <w:pPr>
        <w:ind w:firstLine="709"/>
        <w:jc w:val="both"/>
        <w:rPr>
          <w:sz w:val="28"/>
          <w:szCs w:val="28"/>
        </w:rPr>
      </w:pPr>
      <w:r w:rsidRPr="008716CA">
        <w:rPr>
          <w:sz w:val="28"/>
          <w:szCs w:val="28"/>
        </w:rPr>
        <w:t>В</w:t>
      </w:r>
      <w:r>
        <w:rPr>
          <w:sz w:val="28"/>
          <w:szCs w:val="28"/>
        </w:rPr>
        <w:t xml:space="preserve"> расходной части</w:t>
      </w:r>
      <w:r w:rsidRPr="008716C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8716CA">
        <w:rPr>
          <w:sz w:val="28"/>
          <w:szCs w:val="28"/>
        </w:rPr>
        <w:t>города на 20</w:t>
      </w:r>
      <w:r>
        <w:rPr>
          <w:sz w:val="28"/>
          <w:szCs w:val="28"/>
        </w:rPr>
        <w:t>20</w:t>
      </w:r>
      <w:r w:rsidRPr="008716C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8716CA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8716CA">
        <w:rPr>
          <w:sz w:val="28"/>
          <w:szCs w:val="28"/>
        </w:rPr>
        <w:t xml:space="preserve"> годов сохранены социальные приоритеты. Доля средств, направляемых в с</w:t>
      </w:r>
      <w:r>
        <w:rPr>
          <w:sz w:val="28"/>
          <w:szCs w:val="28"/>
        </w:rPr>
        <w:t>оциально-культурную сферу в 2020</w:t>
      </w:r>
      <w:r w:rsidRPr="008716CA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8716CA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>65,7 процентов</w:t>
      </w:r>
      <w:r w:rsidRPr="008716CA">
        <w:rPr>
          <w:sz w:val="28"/>
          <w:szCs w:val="28"/>
        </w:rPr>
        <w:t xml:space="preserve"> общего объема расходов.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 w:rsidRPr="008716CA">
        <w:rPr>
          <w:sz w:val="28"/>
          <w:szCs w:val="28"/>
        </w:rPr>
        <w:t xml:space="preserve">Доля программных расходов </w:t>
      </w:r>
      <w:r>
        <w:rPr>
          <w:sz w:val="28"/>
          <w:szCs w:val="28"/>
        </w:rPr>
        <w:t>запланирована</w:t>
      </w:r>
      <w:r w:rsidRPr="008716CA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8716C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уровне</w:t>
      </w:r>
      <w:r w:rsidRPr="008716CA">
        <w:rPr>
          <w:sz w:val="28"/>
          <w:szCs w:val="28"/>
        </w:rPr>
        <w:t xml:space="preserve"> 9</w:t>
      </w:r>
      <w:r w:rsidR="005909F6">
        <w:rPr>
          <w:sz w:val="28"/>
          <w:szCs w:val="28"/>
        </w:rPr>
        <w:t>5,9</w:t>
      </w:r>
      <w:r w:rsidRPr="008716C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8716CA">
        <w:rPr>
          <w:sz w:val="28"/>
          <w:szCs w:val="28"/>
        </w:rPr>
        <w:t>.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привлечения ресурсов из вышестоящих бюджетов в приоритетном порядке предусмотрено выделение бюджетных ассигнований на реализацию Региональных и Национальных проектов. В 2020 году запланирована реализация мероприятий в рамках четырех Национальных проектов «Жилье и городская среда», «Безопасные и качественные дороги», «Демография», «Экология».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Планируются бюджетные ассигнования на осуществление капитальных вложений  в объект «Реконструкция сетей электроснабжения СНТ «</w:t>
      </w:r>
      <w:proofErr w:type="spellStart"/>
      <w:r>
        <w:rPr>
          <w:sz w:val="28"/>
          <w:szCs w:val="28"/>
        </w:rPr>
        <w:t>Студеновское</w:t>
      </w:r>
      <w:proofErr w:type="spellEnd"/>
      <w:r>
        <w:rPr>
          <w:sz w:val="28"/>
          <w:szCs w:val="28"/>
        </w:rPr>
        <w:t xml:space="preserve">», не числящийся в муниципальной собственности. </w:t>
      </w:r>
    </w:p>
    <w:p w:rsidR="003A1695" w:rsidRPr="003A1695" w:rsidRDefault="003A1695" w:rsidP="003A1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695">
        <w:rPr>
          <w:sz w:val="28"/>
          <w:szCs w:val="28"/>
        </w:rPr>
        <w:lastRenderedPageBreak/>
        <w:t xml:space="preserve">В проекте бюджета на 2020 год не предусмотрено повышение  оплаты труда лицам, замещающим должности муниципальной службы города Липецка и денежного вознаграждения лицам, замещающим муниципальные должности города Липецка.  </w:t>
      </w:r>
    </w:p>
    <w:p w:rsidR="00584EDA" w:rsidRDefault="00584EDA" w:rsidP="00584E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проводимые мероприятия по поддержке транспорта (приобретение подвижного состава, возмещение части затрат перевозчиков, связанных с приобретением подвижного состава) размеры субсидий </w:t>
      </w:r>
      <w:r w:rsidRPr="00926F2B">
        <w:rPr>
          <w:sz w:val="28"/>
          <w:szCs w:val="28"/>
        </w:rPr>
        <w:t>на возмещение части затрат</w:t>
      </w:r>
      <w:r>
        <w:rPr>
          <w:sz w:val="28"/>
          <w:szCs w:val="28"/>
        </w:rPr>
        <w:t xml:space="preserve">, </w:t>
      </w:r>
      <w:r w:rsidRPr="00926F2B">
        <w:rPr>
          <w:sz w:val="28"/>
          <w:szCs w:val="28"/>
        </w:rPr>
        <w:t>связанных с осуществлением перевозок пассажиров автомобильным и городским наземным  электрическим транспортом по муниципальным  маршрутам</w:t>
      </w:r>
      <w:r>
        <w:rPr>
          <w:sz w:val="28"/>
          <w:szCs w:val="28"/>
        </w:rPr>
        <w:t xml:space="preserve"> не сокращаются.</w:t>
      </w:r>
    </w:p>
    <w:p w:rsidR="00584EDA" w:rsidRDefault="005E1D9D" w:rsidP="005E1D9D">
      <w:pPr>
        <w:ind w:firstLine="709"/>
        <w:jc w:val="both"/>
        <w:rPr>
          <w:sz w:val="28"/>
          <w:szCs w:val="28"/>
        </w:rPr>
      </w:pPr>
      <w:r w:rsidRPr="005E1D9D">
        <w:rPr>
          <w:sz w:val="28"/>
          <w:szCs w:val="28"/>
        </w:rPr>
        <w:t>Большинство предоставляемых субсидий и грантов связаны с поддержкой уже существующей деятельности и не направлены на  создание новых  рабочих мест.</w:t>
      </w:r>
    </w:p>
    <w:p w:rsidR="00584EDA" w:rsidRPr="00104F37" w:rsidRDefault="00584EDA" w:rsidP="00584EDA">
      <w:pPr>
        <w:ind w:firstLine="709"/>
        <w:jc w:val="both"/>
        <w:rPr>
          <w:i/>
          <w:sz w:val="28"/>
          <w:szCs w:val="28"/>
        </w:rPr>
      </w:pPr>
      <w:r w:rsidRPr="00104F37">
        <w:rPr>
          <w:i/>
          <w:sz w:val="28"/>
          <w:szCs w:val="28"/>
        </w:rPr>
        <w:t>Опираясь на результаты проведенной экспертизы проекта бюджета и проведенных контрольных мероприятий, Счетная палата предлагает Администрации города Липецка продолжить реализацию мероприятий, позволяющих повысить уровень поступления доходов и оптимизации расходов, с учетом следующих рекомендаций: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Планирование доходных источников осуществлять в соответствии с методиками, разработанными на основании общих требований, установленных Правительством РФ.</w:t>
      </w:r>
      <w:r w:rsidRPr="00E8532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формулы расчета плановых поступлений арендной платы  за земельные участки и имущество муниципальной казны.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течение финансового  года  пересмотреть прогноз поступлений налога на доходы физических лиц, учитывая результаты декларирования.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Активизировать работу по выявлению и постановке на кадастровой учет земельных участков, право </w:t>
      </w:r>
      <w:proofErr w:type="gramStart"/>
      <w:r>
        <w:rPr>
          <w:sz w:val="28"/>
          <w:szCs w:val="28"/>
        </w:rPr>
        <w:t>пользования</w:t>
      </w:r>
      <w:proofErr w:type="gramEnd"/>
      <w:r>
        <w:rPr>
          <w:sz w:val="28"/>
          <w:szCs w:val="28"/>
        </w:rPr>
        <w:t xml:space="preserve"> которыми не узаконено. Провести работу по пересмотру ставок арендной платы за землю.</w:t>
      </w:r>
    </w:p>
    <w:p w:rsidR="00584EDA" w:rsidRPr="00F41049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Активизировать меры </w:t>
      </w:r>
      <w:r w:rsidR="00104F37">
        <w:rPr>
          <w:sz w:val="28"/>
          <w:szCs w:val="28"/>
        </w:rPr>
        <w:t>взыскания</w:t>
      </w:r>
      <w:r>
        <w:rPr>
          <w:sz w:val="28"/>
          <w:szCs w:val="28"/>
        </w:rPr>
        <w:t xml:space="preserve"> задолженности по неналоговым платежам. </w:t>
      </w:r>
      <w:r w:rsidRPr="00F41049">
        <w:rPr>
          <w:sz w:val="28"/>
          <w:szCs w:val="28"/>
        </w:rPr>
        <w:t>Пересмотреть условия договоров аренды муниципального имущества в части установления сроков авансовых платежей  и ужесточения санкций за несвоевременную уплату стоимости аренды</w:t>
      </w:r>
      <w:r>
        <w:rPr>
          <w:sz w:val="28"/>
          <w:szCs w:val="28"/>
        </w:rPr>
        <w:t xml:space="preserve"> и выкупа муниципального имущества субъектами малого и среднего предпринимательства</w:t>
      </w:r>
      <w:r w:rsidRPr="00F41049">
        <w:rPr>
          <w:sz w:val="28"/>
          <w:szCs w:val="28"/>
        </w:rPr>
        <w:t>.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Учитывая, что обеспечение жилищных условий является одной из национальных целей развития Российской Федерации до 2024 года, в ходе исполнения бюджета изыскивать возможности увеличения финансирования полномочий в части обеспечения жильем малоимущих граждан.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случае зачисления средств от   приватизации пакетов акций в 2020 году внести изменения в бюджет города</w:t>
      </w:r>
      <w:r w:rsidR="00ED3DFC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соблюдения норм  статей 41, 62, 96 Бюджетного кодекса. </w:t>
      </w:r>
    </w:p>
    <w:p w:rsidR="00584EDA" w:rsidRDefault="00584EDA" w:rsidP="0058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Не осуществлять  капитальные вложения  в объекты немуниципальной собственности. </w:t>
      </w:r>
    </w:p>
    <w:p w:rsidR="00820C60" w:rsidRDefault="00584EDA" w:rsidP="003F7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05FD7">
        <w:rPr>
          <w:sz w:val="28"/>
          <w:szCs w:val="28"/>
        </w:rPr>
        <w:t xml:space="preserve">В целях </w:t>
      </w:r>
      <w:proofErr w:type="gramStart"/>
      <w:r w:rsidRPr="00E05FD7">
        <w:rPr>
          <w:sz w:val="28"/>
          <w:szCs w:val="28"/>
        </w:rPr>
        <w:t>соблюдения соотносительности основных условий оплаты труда</w:t>
      </w:r>
      <w:proofErr w:type="gramEnd"/>
      <w:r w:rsidRPr="00E05FD7">
        <w:rPr>
          <w:sz w:val="28"/>
          <w:szCs w:val="28"/>
        </w:rPr>
        <w:t xml:space="preserve"> и социальных гарантий  муниципальных служащих и государственных гражданских служащих</w:t>
      </w:r>
      <w:r>
        <w:rPr>
          <w:sz w:val="28"/>
          <w:szCs w:val="28"/>
        </w:rPr>
        <w:t>,</w:t>
      </w:r>
      <w:r w:rsidR="00104F37">
        <w:rPr>
          <w:sz w:val="28"/>
          <w:szCs w:val="28"/>
        </w:rPr>
        <w:t xml:space="preserve"> рассмотреть вопрос о  повышении</w:t>
      </w:r>
      <w:r w:rsidRPr="00E05FD7">
        <w:rPr>
          <w:sz w:val="28"/>
          <w:szCs w:val="28"/>
        </w:rPr>
        <w:t xml:space="preserve">  </w:t>
      </w:r>
      <w:r w:rsidR="00820C60" w:rsidRPr="00820C60">
        <w:rPr>
          <w:sz w:val="28"/>
          <w:szCs w:val="28"/>
        </w:rPr>
        <w:t xml:space="preserve">оплаты труда </w:t>
      </w:r>
      <w:r w:rsidR="00820C60" w:rsidRPr="00820C60">
        <w:rPr>
          <w:sz w:val="28"/>
          <w:szCs w:val="28"/>
        </w:rPr>
        <w:lastRenderedPageBreak/>
        <w:t xml:space="preserve">лицам, замещающим должности муниципальной службы города Липецка и денежного вознаграждения лицам, замещающим муниципальные должности города Липецка </w:t>
      </w:r>
    </w:p>
    <w:p w:rsidR="00584EDA" w:rsidRPr="003F704E" w:rsidRDefault="003F704E" w:rsidP="003F7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приоритетном порядке оказывать </w:t>
      </w:r>
      <w:proofErr w:type="spellStart"/>
      <w:r>
        <w:rPr>
          <w:sz w:val="28"/>
          <w:szCs w:val="28"/>
        </w:rPr>
        <w:t>грантовую</w:t>
      </w:r>
      <w:proofErr w:type="spellEnd"/>
      <w:r>
        <w:rPr>
          <w:sz w:val="28"/>
          <w:szCs w:val="28"/>
        </w:rPr>
        <w:t xml:space="preserve"> поддержку и субсидирование проектов, направленных на создание новых рабочих мест и повышени</w:t>
      </w:r>
      <w:r w:rsidR="00ED3DFC">
        <w:rPr>
          <w:sz w:val="28"/>
          <w:szCs w:val="28"/>
        </w:rPr>
        <w:t>е</w:t>
      </w:r>
      <w:r>
        <w:rPr>
          <w:sz w:val="28"/>
          <w:szCs w:val="28"/>
        </w:rPr>
        <w:t xml:space="preserve"> уровня жизни жителей города.</w:t>
      </w:r>
    </w:p>
    <w:p w:rsidR="00584EDA" w:rsidRDefault="00584EDA" w:rsidP="00584ED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Счетная палата города Липецка считает, что внесенный на рассмотрение Липецкого городского Совета депутатов проект бюджета города на 2020 год и на плановый период 2021 и 2022 годов  в целом соответствует нормам бюджетного законодательства и рекомендует утвердить его в </w:t>
      </w:r>
      <w:r w:rsidR="003F704E">
        <w:rPr>
          <w:i/>
          <w:sz w:val="28"/>
          <w:szCs w:val="28"/>
        </w:rPr>
        <w:t>двух чтениях</w:t>
      </w:r>
      <w:r>
        <w:rPr>
          <w:i/>
          <w:sz w:val="28"/>
          <w:szCs w:val="28"/>
        </w:rPr>
        <w:t>.</w:t>
      </w:r>
    </w:p>
    <w:p w:rsidR="00584EDA" w:rsidRDefault="00584EDA" w:rsidP="00584EDA">
      <w:pPr>
        <w:ind w:firstLine="709"/>
        <w:jc w:val="both"/>
        <w:rPr>
          <w:i/>
          <w:sz w:val="28"/>
          <w:szCs w:val="28"/>
        </w:rPr>
      </w:pPr>
    </w:p>
    <w:p w:rsidR="00584EDA" w:rsidRDefault="00584EDA" w:rsidP="00584EDA">
      <w:pPr>
        <w:ind w:firstLine="709"/>
        <w:jc w:val="both"/>
        <w:rPr>
          <w:sz w:val="28"/>
          <w:szCs w:val="28"/>
        </w:rPr>
      </w:pPr>
    </w:p>
    <w:p w:rsidR="00D00E21" w:rsidRDefault="00D00E21" w:rsidP="00C625E4">
      <w:pPr>
        <w:rPr>
          <w:b/>
          <w:sz w:val="28"/>
          <w:szCs w:val="28"/>
        </w:rPr>
      </w:pPr>
    </w:p>
    <w:p w:rsidR="00D00E21" w:rsidRPr="00D00E21" w:rsidRDefault="00DC4193" w:rsidP="00D00E21">
      <w:pPr>
        <w:tabs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0E21" w:rsidRPr="00D00E21">
        <w:rPr>
          <w:sz w:val="28"/>
          <w:szCs w:val="28"/>
        </w:rPr>
        <w:t>Председатель</w:t>
      </w:r>
    </w:p>
    <w:p w:rsidR="00D00E21" w:rsidRPr="00D00E21" w:rsidRDefault="00DC4193" w:rsidP="00D00E21">
      <w:pPr>
        <w:tabs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0E21" w:rsidRPr="00D00E21">
        <w:rPr>
          <w:sz w:val="28"/>
          <w:szCs w:val="28"/>
        </w:rPr>
        <w:t>Счетной палаты</w:t>
      </w:r>
    </w:p>
    <w:p w:rsidR="00D00E21" w:rsidRPr="00D00E21" w:rsidRDefault="00DC4193" w:rsidP="00D00E21">
      <w:pPr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D00E21" w:rsidRPr="00D00E21">
        <w:rPr>
          <w:sz w:val="28"/>
          <w:szCs w:val="28"/>
        </w:rPr>
        <w:t xml:space="preserve">города Липецка                                                                       М.П. </w:t>
      </w:r>
      <w:proofErr w:type="spellStart"/>
      <w:r w:rsidR="00D00E21" w:rsidRPr="00D00E21">
        <w:rPr>
          <w:sz w:val="28"/>
          <w:szCs w:val="28"/>
        </w:rPr>
        <w:t>Зиборова</w:t>
      </w:r>
      <w:proofErr w:type="spellEnd"/>
    </w:p>
    <w:p w:rsidR="00D00E21" w:rsidRPr="003A44FF" w:rsidRDefault="00D00E21" w:rsidP="00BD5CC2">
      <w:pPr>
        <w:ind w:firstLine="709"/>
        <w:jc w:val="center"/>
        <w:rPr>
          <w:b/>
          <w:sz w:val="28"/>
          <w:szCs w:val="28"/>
        </w:rPr>
      </w:pPr>
    </w:p>
    <w:sectPr w:rsidR="00D00E21" w:rsidRPr="003A44FF" w:rsidSect="00A16B6D">
      <w:headerReference w:type="even" r:id="rId14"/>
      <w:headerReference w:type="default" r:id="rId15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F7" w:rsidRDefault="00401EF7">
      <w:r>
        <w:separator/>
      </w:r>
    </w:p>
  </w:endnote>
  <w:endnote w:type="continuationSeparator" w:id="0">
    <w:p w:rsidR="00401EF7" w:rsidRDefault="0040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F7" w:rsidRDefault="00401EF7">
      <w:r>
        <w:separator/>
      </w:r>
    </w:p>
  </w:footnote>
  <w:footnote w:type="continuationSeparator" w:id="0">
    <w:p w:rsidR="00401EF7" w:rsidRDefault="00401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60" w:rsidRDefault="00820C60" w:rsidP="0035283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0C60" w:rsidRDefault="00820C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60" w:rsidRDefault="00820C60" w:rsidP="0035283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6BB5">
      <w:rPr>
        <w:rStyle w:val="a6"/>
        <w:noProof/>
      </w:rPr>
      <w:t>2</w:t>
    </w:r>
    <w:r>
      <w:rPr>
        <w:rStyle w:val="a6"/>
      </w:rPr>
      <w:fldChar w:fldCharType="end"/>
    </w:r>
  </w:p>
  <w:p w:rsidR="00820C60" w:rsidRDefault="00820C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294"/>
    <w:multiLevelType w:val="hybridMultilevel"/>
    <w:tmpl w:val="4A1C7EEE"/>
    <w:lvl w:ilvl="0" w:tplc="28B8924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1478633E"/>
    <w:multiLevelType w:val="hybridMultilevel"/>
    <w:tmpl w:val="C508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31FD6"/>
    <w:multiLevelType w:val="hybridMultilevel"/>
    <w:tmpl w:val="35F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02C18"/>
    <w:multiLevelType w:val="hybridMultilevel"/>
    <w:tmpl w:val="13784C7C"/>
    <w:lvl w:ilvl="0" w:tplc="5B9AA44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A6"/>
    <w:rsid w:val="00001E9D"/>
    <w:rsid w:val="00001ECB"/>
    <w:rsid w:val="00002B50"/>
    <w:rsid w:val="000037B3"/>
    <w:rsid w:val="00003A2C"/>
    <w:rsid w:val="00004E31"/>
    <w:rsid w:val="000055EB"/>
    <w:rsid w:val="00007372"/>
    <w:rsid w:val="00011360"/>
    <w:rsid w:val="00011D49"/>
    <w:rsid w:val="00015273"/>
    <w:rsid w:val="0001534E"/>
    <w:rsid w:val="000155CE"/>
    <w:rsid w:val="00015FC2"/>
    <w:rsid w:val="00016B1A"/>
    <w:rsid w:val="00020F23"/>
    <w:rsid w:val="00021FA5"/>
    <w:rsid w:val="00022EF8"/>
    <w:rsid w:val="000232C8"/>
    <w:rsid w:val="00023C4D"/>
    <w:rsid w:val="00026442"/>
    <w:rsid w:val="00026AAE"/>
    <w:rsid w:val="00027452"/>
    <w:rsid w:val="000320DE"/>
    <w:rsid w:val="000322CB"/>
    <w:rsid w:val="0003657F"/>
    <w:rsid w:val="00036F78"/>
    <w:rsid w:val="000400B0"/>
    <w:rsid w:val="00041BC9"/>
    <w:rsid w:val="00042956"/>
    <w:rsid w:val="00042B4E"/>
    <w:rsid w:val="000431E0"/>
    <w:rsid w:val="000432E5"/>
    <w:rsid w:val="000452EB"/>
    <w:rsid w:val="0004585A"/>
    <w:rsid w:val="00045C48"/>
    <w:rsid w:val="0004611B"/>
    <w:rsid w:val="00047F55"/>
    <w:rsid w:val="00050A8F"/>
    <w:rsid w:val="00053A19"/>
    <w:rsid w:val="000544B0"/>
    <w:rsid w:val="00054F19"/>
    <w:rsid w:val="00056130"/>
    <w:rsid w:val="000561B4"/>
    <w:rsid w:val="00056B48"/>
    <w:rsid w:val="00057788"/>
    <w:rsid w:val="00063115"/>
    <w:rsid w:val="000634AD"/>
    <w:rsid w:val="00063F1F"/>
    <w:rsid w:val="0006590B"/>
    <w:rsid w:val="00065B87"/>
    <w:rsid w:val="000732A1"/>
    <w:rsid w:val="000733CC"/>
    <w:rsid w:val="000733F8"/>
    <w:rsid w:val="00073558"/>
    <w:rsid w:val="00074520"/>
    <w:rsid w:val="000745C7"/>
    <w:rsid w:val="000746B5"/>
    <w:rsid w:val="000747BD"/>
    <w:rsid w:val="000751FF"/>
    <w:rsid w:val="00075798"/>
    <w:rsid w:val="00075BE2"/>
    <w:rsid w:val="00075E24"/>
    <w:rsid w:val="00080870"/>
    <w:rsid w:val="00080C64"/>
    <w:rsid w:val="00081F1E"/>
    <w:rsid w:val="0008311B"/>
    <w:rsid w:val="000833E7"/>
    <w:rsid w:val="0008387F"/>
    <w:rsid w:val="00083B04"/>
    <w:rsid w:val="000845E3"/>
    <w:rsid w:val="00084BC8"/>
    <w:rsid w:val="00084E11"/>
    <w:rsid w:val="0008632D"/>
    <w:rsid w:val="00087157"/>
    <w:rsid w:val="00090712"/>
    <w:rsid w:val="00090B48"/>
    <w:rsid w:val="0009240B"/>
    <w:rsid w:val="000965E0"/>
    <w:rsid w:val="00096D4C"/>
    <w:rsid w:val="000A0113"/>
    <w:rsid w:val="000A399A"/>
    <w:rsid w:val="000A5509"/>
    <w:rsid w:val="000A7333"/>
    <w:rsid w:val="000B0893"/>
    <w:rsid w:val="000B2B0B"/>
    <w:rsid w:val="000B382D"/>
    <w:rsid w:val="000B3D8D"/>
    <w:rsid w:val="000B4FD7"/>
    <w:rsid w:val="000B5043"/>
    <w:rsid w:val="000B527F"/>
    <w:rsid w:val="000B5981"/>
    <w:rsid w:val="000B5C14"/>
    <w:rsid w:val="000B5C2F"/>
    <w:rsid w:val="000B644C"/>
    <w:rsid w:val="000B66EA"/>
    <w:rsid w:val="000B6E9D"/>
    <w:rsid w:val="000B6FBA"/>
    <w:rsid w:val="000B725B"/>
    <w:rsid w:val="000B7EB0"/>
    <w:rsid w:val="000C01FA"/>
    <w:rsid w:val="000C0B5D"/>
    <w:rsid w:val="000C4190"/>
    <w:rsid w:val="000C4433"/>
    <w:rsid w:val="000C4981"/>
    <w:rsid w:val="000C596D"/>
    <w:rsid w:val="000C7563"/>
    <w:rsid w:val="000C7DBD"/>
    <w:rsid w:val="000D2F98"/>
    <w:rsid w:val="000D456B"/>
    <w:rsid w:val="000D46F4"/>
    <w:rsid w:val="000D5166"/>
    <w:rsid w:val="000D5A30"/>
    <w:rsid w:val="000D6FC4"/>
    <w:rsid w:val="000D7E1D"/>
    <w:rsid w:val="000E2B81"/>
    <w:rsid w:val="000E2F61"/>
    <w:rsid w:val="000E3546"/>
    <w:rsid w:val="000E517D"/>
    <w:rsid w:val="000E693D"/>
    <w:rsid w:val="000F0AED"/>
    <w:rsid w:val="000F0B8E"/>
    <w:rsid w:val="000F0CD0"/>
    <w:rsid w:val="000F0E07"/>
    <w:rsid w:val="000F1A61"/>
    <w:rsid w:val="000F1C16"/>
    <w:rsid w:val="000F2403"/>
    <w:rsid w:val="000F5134"/>
    <w:rsid w:val="000F5548"/>
    <w:rsid w:val="000F66A2"/>
    <w:rsid w:val="00100FDA"/>
    <w:rsid w:val="00101251"/>
    <w:rsid w:val="00102E73"/>
    <w:rsid w:val="0010364C"/>
    <w:rsid w:val="00103870"/>
    <w:rsid w:val="00104057"/>
    <w:rsid w:val="00104C53"/>
    <w:rsid w:val="00104F37"/>
    <w:rsid w:val="00105B62"/>
    <w:rsid w:val="00106321"/>
    <w:rsid w:val="00106D41"/>
    <w:rsid w:val="0010780D"/>
    <w:rsid w:val="0010782D"/>
    <w:rsid w:val="00107D97"/>
    <w:rsid w:val="00111F3D"/>
    <w:rsid w:val="00113680"/>
    <w:rsid w:val="0011371F"/>
    <w:rsid w:val="00113FB9"/>
    <w:rsid w:val="0011502A"/>
    <w:rsid w:val="00115509"/>
    <w:rsid w:val="00115763"/>
    <w:rsid w:val="00116DAB"/>
    <w:rsid w:val="001170A0"/>
    <w:rsid w:val="0011753B"/>
    <w:rsid w:val="00117BDF"/>
    <w:rsid w:val="00120958"/>
    <w:rsid w:val="00122388"/>
    <w:rsid w:val="0012246F"/>
    <w:rsid w:val="001234E7"/>
    <w:rsid w:val="00123A56"/>
    <w:rsid w:val="00125B4A"/>
    <w:rsid w:val="001277FF"/>
    <w:rsid w:val="00127EEF"/>
    <w:rsid w:val="00131A9B"/>
    <w:rsid w:val="001322D5"/>
    <w:rsid w:val="00132658"/>
    <w:rsid w:val="00133011"/>
    <w:rsid w:val="00133186"/>
    <w:rsid w:val="00134A86"/>
    <w:rsid w:val="00134C45"/>
    <w:rsid w:val="00135CDD"/>
    <w:rsid w:val="00136632"/>
    <w:rsid w:val="001425AF"/>
    <w:rsid w:val="001425E1"/>
    <w:rsid w:val="00142C1C"/>
    <w:rsid w:val="00143020"/>
    <w:rsid w:val="0014474A"/>
    <w:rsid w:val="001451A4"/>
    <w:rsid w:val="00145670"/>
    <w:rsid w:val="001465BC"/>
    <w:rsid w:val="0014692C"/>
    <w:rsid w:val="00146F52"/>
    <w:rsid w:val="00150EE7"/>
    <w:rsid w:val="00151023"/>
    <w:rsid w:val="001512DB"/>
    <w:rsid w:val="001519FB"/>
    <w:rsid w:val="001529C0"/>
    <w:rsid w:val="0015321C"/>
    <w:rsid w:val="001536EE"/>
    <w:rsid w:val="00155274"/>
    <w:rsid w:val="0015568B"/>
    <w:rsid w:val="00155771"/>
    <w:rsid w:val="001558EB"/>
    <w:rsid w:val="00155A31"/>
    <w:rsid w:val="00155C0C"/>
    <w:rsid w:val="001561AF"/>
    <w:rsid w:val="00157B19"/>
    <w:rsid w:val="00160570"/>
    <w:rsid w:val="001608CA"/>
    <w:rsid w:val="00160E69"/>
    <w:rsid w:val="001622A5"/>
    <w:rsid w:val="00163892"/>
    <w:rsid w:val="001650F3"/>
    <w:rsid w:val="00165C8B"/>
    <w:rsid w:val="0017091B"/>
    <w:rsid w:val="0017096C"/>
    <w:rsid w:val="001716E1"/>
    <w:rsid w:val="00171C86"/>
    <w:rsid w:val="00171E6D"/>
    <w:rsid w:val="001735D7"/>
    <w:rsid w:val="00173CFC"/>
    <w:rsid w:val="001761DA"/>
    <w:rsid w:val="0017737F"/>
    <w:rsid w:val="00180659"/>
    <w:rsid w:val="00180753"/>
    <w:rsid w:val="00180ACE"/>
    <w:rsid w:val="00181D58"/>
    <w:rsid w:val="00182B44"/>
    <w:rsid w:val="00185994"/>
    <w:rsid w:val="00186526"/>
    <w:rsid w:val="0018684A"/>
    <w:rsid w:val="00186C5F"/>
    <w:rsid w:val="001876B4"/>
    <w:rsid w:val="00190A51"/>
    <w:rsid w:val="001919ED"/>
    <w:rsid w:val="00192428"/>
    <w:rsid w:val="0019313F"/>
    <w:rsid w:val="00193DA0"/>
    <w:rsid w:val="00194FC3"/>
    <w:rsid w:val="001953C6"/>
    <w:rsid w:val="001965F9"/>
    <w:rsid w:val="00196AAE"/>
    <w:rsid w:val="001A0811"/>
    <w:rsid w:val="001A155F"/>
    <w:rsid w:val="001A24FB"/>
    <w:rsid w:val="001A3572"/>
    <w:rsid w:val="001A3D99"/>
    <w:rsid w:val="001A48C3"/>
    <w:rsid w:val="001A5A8E"/>
    <w:rsid w:val="001A6029"/>
    <w:rsid w:val="001A60FA"/>
    <w:rsid w:val="001A62F7"/>
    <w:rsid w:val="001B0A5E"/>
    <w:rsid w:val="001B2615"/>
    <w:rsid w:val="001B3991"/>
    <w:rsid w:val="001B3B94"/>
    <w:rsid w:val="001B4CEA"/>
    <w:rsid w:val="001B70DD"/>
    <w:rsid w:val="001C0BEF"/>
    <w:rsid w:val="001C11B7"/>
    <w:rsid w:val="001C1B3A"/>
    <w:rsid w:val="001C23B1"/>
    <w:rsid w:val="001C28AF"/>
    <w:rsid w:val="001C794C"/>
    <w:rsid w:val="001D0D13"/>
    <w:rsid w:val="001D1D03"/>
    <w:rsid w:val="001D6A80"/>
    <w:rsid w:val="001D73E3"/>
    <w:rsid w:val="001D7627"/>
    <w:rsid w:val="001D7E7B"/>
    <w:rsid w:val="001E007D"/>
    <w:rsid w:val="001E0BC9"/>
    <w:rsid w:val="001E0D5F"/>
    <w:rsid w:val="001E1369"/>
    <w:rsid w:val="001E1836"/>
    <w:rsid w:val="001E3AE3"/>
    <w:rsid w:val="001E3B2E"/>
    <w:rsid w:val="001E406D"/>
    <w:rsid w:val="001E5C74"/>
    <w:rsid w:val="001E5EA0"/>
    <w:rsid w:val="001E6715"/>
    <w:rsid w:val="001F1EFC"/>
    <w:rsid w:val="001F2747"/>
    <w:rsid w:val="001F2925"/>
    <w:rsid w:val="001F35D8"/>
    <w:rsid w:val="001F40DB"/>
    <w:rsid w:val="001F4853"/>
    <w:rsid w:val="001F492D"/>
    <w:rsid w:val="001F49A9"/>
    <w:rsid w:val="001F698E"/>
    <w:rsid w:val="001F7675"/>
    <w:rsid w:val="00200375"/>
    <w:rsid w:val="00201EE3"/>
    <w:rsid w:val="00201FEE"/>
    <w:rsid w:val="00202B65"/>
    <w:rsid w:val="0020304E"/>
    <w:rsid w:val="00203581"/>
    <w:rsid w:val="00205400"/>
    <w:rsid w:val="002078B4"/>
    <w:rsid w:val="00210A79"/>
    <w:rsid w:val="00210F9B"/>
    <w:rsid w:val="00211E27"/>
    <w:rsid w:val="00212782"/>
    <w:rsid w:val="002128DF"/>
    <w:rsid w:val="002136E4"/>
    <w:rsid w:val="002137B3"/>
    <w:rsid w:val="00216591"/>
    <w:rsid w:val="0021697A"/>
    <w:rsid w:val="0022050A"/>
    <w:rsid w:val="00220F2F"/>
    <w:rsid w:val="002225CD"/>
    <w:rsid w:val="00222D55"/>
    <w:rsid w:val="0022390D"/>
    <w:rsid w:val="00223EF9"/>
    <w:rsid w:val="00224DED"/>
    <w:rsid w:val="00225EB5"/>
    <w:rsid w:val="0022728B"/>
    <w:rsid w:val="0022794F"/>
    <w:rsid w:val="0023022E"/>
    <w:rsid w:val="00230D00"/>
    <w:rsid w:val="00230ED3"/>
    <w:rsid w:val="0023101F"/>
    <w:rsid w:val="002311C8"/>
    <w:rsid w:val="0023198B"/>
    <w:rsid w:val="00232F6F"/>
    <w:rsid w:val="0023351C"/>
    <w:rsid w:val="002347D2"/>
    <w:rsid w:val="00235E6E"/>
    <w:rsid w:val="002364F3"/>
    <w:rsid w:val="0023769D"/>
    <w:rsid w:val="00241A2C"/>
    <w:rsid w:val="00241C4D"/>
    <w:rsid w:val="00242B65"/>
    <w:rsid w:val="002430D3"/>
    <w:rsid w:val="00243389"/>
    <w:rsid w:val="00243A4D"/>
    <w:rsid w:val="002441A5"/>
    <w:rsid w:val="00244934"/>
    <w:rsid w:val="00245D42"/>
    <w:rsid w:val="00245E8C"/>
    <w:rsid w:val="0024614B"/>
    <w:rsid w:val="002507F5"/>
    <w:rsid w:val="00251D4A"/>
    <w:rsid w:val="00251DE6"/>
    <w:rsid w:val="00252045"/>
    <w:rsid w:val="0025263B"/>
    <w:rsid w:val="00253CD2"/>
    <w:rsid w:val="00254135"/>
    <w:rsid w:val="00254ABA"/>
    <w:rsid w:val="002565EE"/>
    <w:rsid w:val="0025787F"/>
    <w:rsid w:val="00261563"/>
    <w:rsid w:val="0026230C"/>
    <w:rsid w:val="00262A9E"/>
    <w:rsid w:val="00262D08"/>
    <w:rsid w:val="00263BB4"/>
    <w:rsid w:val="0026557C"/>
    <w:rsid w:val="0026632B"/>
    <w:rsid w:val="00267905"/>
    <w:rsid w:val="00267D20"/>
    <w:rsid w:val="00270558"/>
    <w:rsid w:val="002707C8"/>
    <w:rsid w:val="0027129B"/>
    <w:rsid w:val="00271473"/>
    <w:rsid w:val="0027194B"/>
    <w:rsid w:val="00272D03"/>
    <w:rsid w:val="00273ABF"/>
    <w:rsid w:val="0027471F"/>
    <w:rsid w:val="0027486A"/>
    <w:rsid w:val="0027561C"/>
    <w:rsid w:val="00276954"/>
    <w:rsid w:val="00277B16"/>
    <w:rsid w:val="002826DB"/>
    <w:rsid w:val="00282868"/>
    <w:rsid w:val="002841BC"/>
    <w:rsid w:val="002847D8"/>
    <w:rsid w:val="00284DDB"/>
    <w:rsid w:val="002855D1"/>
    <w:rsid w:val="00285C80"/>
    <w:rsid w:val="002863DF"/>
    <w:rsid w:val="002866D6"/>
    <w:rsid w:val="00287780"/>
    <w:rsid w:val="00287B5D"/>
    <w:rsid w:val="002904A2"/>
    <w:rsid w:val="002905E5"/>
    <w:rsid w:val="00291BE4"/>
    <w:rsid w:val="00291FBB"/>
    <w:rsid w:val="00292B87"/>
    <w:rsid w:val="00293CE1"/>
    <w:rsid w:val="00293F1E"/>
    <w:rsid w:val="00294712"/>
    <w:rsid w:val="00294BDE"/>
    <w:rsid w:val="00294DC5"/>
    <w:rsid w:val="00294E96"/>
    <w:rsid w:val="002965C2"/>
    <w:rsid w:val="00296A7A"/>
    <w:rsid w:val="00296D1F"/>
    <w:rsid w:val="002A0CB8"/>
    <w:rsid w:val="002A389D"/>
    <w:rsid w:val="002A5685"/>
    <w:rsid w:val="002A5E9D"/>
    <w:rsid w:val="002A71F3"/>
    <w:rsid w:val="002A7F9D"/>
    <w:rsid w:val="002B0293"/>
    <w:rsid w:val="002B04DE"/>
    <w:rsid w:val="002B12B8"/>
    <w:rsid w:val="002B1984"/>
    <w:rsid w:val="002B1BCA"/>
    <w:rsid w:val="002B2C1B"/>
    <w:rsid w:val="002B50EF"/>
    <w:rsid w:val="002B58BF"/>
    <w:rsid w:val="002B623C"/>
    <w:rsid w:val="002B6548"/>
    <w:rsid w:val="002B68E7"/>
    <w:rsid w:val="002B6933"/>
    <w:rsid w:val="002B7C64"/>
    <w:rsid w:val="002C1B1B"/>
    <w:rsid w:val="002C1E34"/>
    <w:rsid w:val="002C41B9"/>
    <w:rsid w:val="002D040D"/>
    <w:rsid w:val="002D20E4"/>
    <w:rsid w:val="002D3564"/>
    <w:rsid w:val="002D36AA"/>
    <w:rsid w:val="002D43D9"/>
    <w:rsid w:val="002D5C90"/>
    <w:rsid w:val="002E0822"/>
    <w:rsid w:val="002E109E"/>
    <w:rsid w:val="002E14B3"/>
    <w:rsid w:val="002E174B"/>
    <w:rsid w:val="002E2205"/>
    <w:rsid w:val="002E280B"/>
    <w:rsid w:val="002E6B01"/>
    <w:rsid w:val="002F0D1C"/>
    <w:rsid w:val="002F1215"/>
    <w:rsid w:val="002F1C31"/>
    <w:rsid w:val="002F23FA"/>
    <w:rsid w:val="002F2AAB"/>
    <w:rsid w:val="003004AB"/>
    <w:rsid w:val="00300E7D"/>
    <w:rsid w:val="00301734"/>
    <w:rsid w:val="003026F7"/>
    <w:rsid w:val="0030280B"/>
    <w:rsid w:val="00303B07"/>
    <w:rsid w:val="003051D7"/>
    <w:rsid w:val="00305D79"/>
    <w:rsid w:val="00306E19"/>
    <w:rsid w:val="0030779B"/>
    <w:rsid w:val="00310EAB"/>
    <w:rsid w:val="003112C7"/>
    <w:rsid w:val="00312675"/>
    <w:rsid w:val="00312DE9"/>
    <w:rsid w:val="00312F56"/>
    <w:rsid w:val="00317808"/>
    <w:rsid w:val="0032040A"/>
    <w:rsid w:val="00320825"/>
    <w:rsid w:val="00322ED4"/>
    <w:rsid w:val="00326C5A"/>
    <w:rsid w:val="00331B06"/>
    <w:rsid w:val="00331BD8"/>
    <w:rsid w:val="00333388"/>
    <w:rsid w:val="00333900"/>
    <w:rsid w:val="0033471A"/>
    <w:rsid w:val="003349CA"/>
    <w:rsid w:val="00335356"/>
    <w:rsid w:val="00336B45"/>
    <w:rsid w:val="003375E1"/>
    <w:rsid w:val="00337AB1"/>
    <w:rsid w:val="003401A1"/>
    <w:rsid w:val="00340397"/>
    <w:rsid w:val="00340769"/>
    <w:rsid w:val="00340970"/>
    <w:rsid w:val="00341615"/>
    <w:rsid w:val="00342EDC"/>
    <w:rsid w:val="00343C2E"/>
    <w:rsid w:val="00344918"/>
    <w:rsid w:val="00347CC4"/>
    <w:rsid w:val="00350B5D"/>
    <w:rsid w:val="003519BD"/>
    <w:rsid w:val="00352832"/>
    <w:rsid w:val="00352B3D"/>
    <w:rsid w:val="00353756"/>
    <w:rsid w:val="00353F52"/>
    <w:rsid w:val="00354547"/>
    <w:rsid w:val="0035479A"/>
    <w:rsid w:val="00354B10"/>
    <w:rsid w:val="003556E2"/>
    <w:rsid w:val="00356A53"/>
    <w:rsid w:val="00357CBB"/>
    <w:rsid w:val="00360269"/>
    <w:rsid w:val="00360708"/>
    <w:rsid w:val="00360BC1"/>
    <w:rsid w:val="00360CD6"/>
    <w:rsid w:val="00361D5B"/>
    <w:rsid w:val="003621C1"/>
    <w:rsid w:val="00366141"/>
    <w:rsid w:val="003674E0"/>
    <w:rsid w:val="00370922"/>
    <w:rsid w:val="00370C53"/>
    <w:rsid w:val="003714A5"/>
    <w:rsid w:val="00372658"/>
    <w:rsid w:val="00372CE5"/>
    <w:rsid w:val="00372E55"/>
    <w:rsid w:val="003731D8"/>
    <w:rsid w:val="00373C51"/>
    <w:rsid w:val="00375681"/>
    <w:rsid w:val="00375803"/>
    <w:rsid w:val="00375E64"/>
    <w:rsid w:val="0037623E"/>
    <w:rsid w:val="003776F3"/>
    <w:rsid w:val="0037795A"/>
    <w:rsid w:val="00380A57"/>
    <w:rsid w:val="00380C88"/>
    <w:rsid w:val="00381C1F"/>
    <w:rsid w:val="00382616"/>
    <w:rsid w:val="00382CCB"/>
    <w:rsid w:val="00382F25"/>
    <w:rsid w:val="0038313B"/>
    <w:rsid w:val="00383DEF"/>
    <w:rsid w:val="003845BD"/>
    <w:rsid w:val="00385149"/>
    <w:rsid w:val="00385ABF"/>
    <w:rsid w:val="00385C13"/>
    <w:rsid w:val="00385D3D"/>
    <w:rsid w:val="003863C9"/>
    <w:rsid w:val="00386472"/>
    <w:rsid w:val="003901A6"/>
    <w:rsid w:val="003908B4"/>
    <w:rsid w:val="0039186E"/>
    <w:rsid w:val="00392206"/>
    <w:rsid w:val="0039304A"/>
    <w:rsid w:val="00394039"/>
    <w:rsid w:val="00395FC2"/>
    <w:rsid w:val="00397669"/>
    <w:rsid w:val="003A009B"/>
    <w:rsid w:val="003A0206"/>
    <w:rsid w:val="003A1695"/>
    <w:rsid w:val="003A25BE"/>
    <w:rsid w:val="003A3AD5"/>
    <w:rsid w:val="003A44FF"/>
    <w:rsid w:val="003A6B7E"/>
    <w:rsid w:val="003A6D6B"/>
    <w:rsid w:val="003A7E5F"/>
    <w:rsid w:val="003B33DF"/>
    <w:rsid w:val="003B4661"/>
    <w:rsid w:val="003B4B49"/>
    <w:rsid w:val="003B5960"/>
    <w:rsid w:val="003B7151"/>
    <w:rsid w:val="003C0AAC"/>
    <w:rsid w:val="003C5042"/>
    <w:rsid w:val="003C5711"/>
    <w:rsid w:val="003C5A50"/>
    <w:rsid w:val="003C6D5A"/>
    <w:rsid w:val="003C74D4"/>
    <w:rsid w:val="003D02DE"/>
    <w:rsid w:val="003D0DD4"/>
    <w:rsid w:val="003D0DE7"/>
    <w:rsid w:val="003D26F5"/>
    <w:rsid w:val="003D28BB"/>
    <w:rsid w:val="003D3687"/>
    <w:rsid w:val="003D3B3F"/>
    <w:rsid w:val="003D46CA"/>
    <w:rsid w:val="003D55DC"/>
    <w:rsid w:val="003D583C"/>
    <w:rsid w:val="003D59C5"/>
    <w:rsid w:val="003D5B90"/>
    <w:rsid w:val="003D696F"/>
    <w:rsid w:val="003D7A8F"/>
    <w:rsid w:val="003E00A0"/>
    <w:rsid w:val="003E092D"/>
    <w:rsid w:val="003E1363"/>
    <w:rsid w:val="003E1720"/>
    <w:rsid w:val="003E1DE0"/>
    <w:rsid w:val="003E2206"/>
    <w:rsid w:val="003E2543"/>
    <w:rsid w:val="003E5400"/>
    <w:rsid w:val="003E7263"/>
    <w:rsid w:val="003F01C8"/>
    <w:rsid w:val="003F0B14"/>
    <w:rsid w:val="003F1FFC"/>
    <w:rsid w:val="003F4104"/>
    <w:rsid w:val="003F487D"/>
    <w:rsid w:val="003F4A81"/>
    <w:rsid w:val="003F4C7C"/>
    <w:rsid w:val="003F5B0B"/>
    <w:rsid w:val="003F5C61"/>
    <w:rsid w:val="003F60A1"/>
    <w:rsid w:val="003F704E"/>
    <w:rsid w:val="003F7847"/>
    <w:rsid w:val="004004C9"/>
    <w:rsid w:val="00401108"/>
    <w:rsid w:val="00401327"/>
    <w:rsid w:val="00401EF7"/>
    <w:rsid w:val="00402B55"/>
    <w:rsid w:val="00403C19"/>
    <w:rsid w:val="00404363"/>
    <w:rsid w:val="00405196"/>
    <w:rsid w:val="0040683D"/>
    <w:rsid w:val="00406A85"/>
    <w:rsid w:val="00406C24"/>
    <w:rsid w:val="004101F9"/>
    <w:rsid w:val="004119DD"/>
    <w:rsid w:val="00411A5F"/>
    <w:rsid w:val="0041219F"/>
    <w:rsid w:val="00421108"/>
    <w:rsid w:val="00421980"/>
    <w:rsid w:val="00422D94"/>
    <w:rsid w:val="00423E78"/>
    <w:rsid w:val="00425293"/>
    <w:rsid w:val="0042557C"/>
    <w:rsid w:val="004257BA"/>
    <w:rsid w:val="0042606E"/>
    <w:rsid w:val="0042663B"/>
    <w:rsid w:val="00426F63"/>
    <w:rsid w:val="004275C7"/>
    <w:rsid w:val="00430A87"/>
    <w:rsid w:val="004317D1"/>
    <w:rsid w:val="00431B37"/>
    <w:rsid w:val="00431F99"/>
    <w:rsid w:val="00434320"/>
    <w:rsid w:val="004362D4"/>
    <w:rsid w:val="004376FA"/>
    <w:rsid w:val="00440213"/>
    <w:rsid w:val="0044134F"/>
    <w:rsid w:val="00441CDC"/>
    <w:rsid w:val="0044235E"/>
    <w:rsid w:val="004439E2"/>
    <w:rsid w:val="004459BD"/>
    <w:rsid w:val="00447305"/>
    <w:rsid w:val="0044777C"/>
    <w:rsid w:val="0044780B"/>
    <w:rsid w:val="00447992"/>
    <w:rsid w:val="00447A20"/>
    <w:rsid w:val="00447C29"/>
    <w:rsid w:val="004502D1"/>
    <w:rsid w:val="004504CD"/>
    <w:rsid w:val="004515B0"/>
    <w:rsid w:val="004521C1"/>
    <w:rsid w:val="0045273F"/>
    <w:rsid w:val="00453E73"/>
    <w:rsid w:val="00454BCB"/>
    <w:rsid w:val="00456D70"/>
    <w:rsid w:val="00456E43"/>
    <w:rsid w:val="00465257"/>
    <w:rsid w:val="004652B0"/>
    <w:rsid w:val="00465751"/>
    <w:rsid w:val="00465D46"/>
    <w:rsid w:val="00466F74"/>
    <w:rsid w:val="00470AAC"/>
    <w:rsid w:val="00471669"/>
    <w:rsid w:val="0047311B"/>
    <w:rsid w:val="00474EA6"/>
    <w:rsid w:val="004752EC"/>
    <w:rsid w:val="004779DC"/>
    <w:rsid w:val="00480181"/>
    <w:rsid w:val="0048037B"/>
    <w:rsid w:val="00484BB2"/>
    <w:rsid w:val="00484C92"/>
    <w:rsid w:val="00484FC8"/>
    <w:rsid w:val="00485EA4"/>
    <w:rsid w:val="00486780"/>
    <w:rsid w:val="00486D72"/>
    <w:rsid w:val="00487B73"/>
    <w:rsid w:val="00490B19"/>
    <w:rsid w:val="00491264"/>
    <w:rsid w:val="00491508"/>
    <w:rsid w:val="004921D8"/>
    <w:rsid w:val="004949CD"/>
    <w:rsid w:val="00497190"/>
    <w:rsid w:val="004A10D1"/>
    <w:rsid w:val="004A1D7B"/>
    <w:rsid w:val="004A2A33"/>
    <w:rsid w:val="004A3B31"/>
    <w:rsid w:val="004A3D81"/>
    <w:rsid w:val="004A3E56"/>
    <w:rsid w:val="004A42DD"/>
    <w:rsid w:val="004A4DD7"/>
    <w:rsid w:val="004A558F"/>
    <w:rsid w:val="004A5FBE"/>
    <w:rsid w:val="004A60F2"/>
    <w:rsid w:val="004A70D8"/>
    <w:rsid w:val="004A71AA"/>
    <w:rsid w:val="004A74CC"/>
    <w:rsid w:val="004B01D0"/>
    <w:rsid w:val="004B3EE1"/>
    <w:rsid w:val="004B5145"/>
    <w:rsid w:val="004B54B3"/>
    <w:rsid w:val="004B5707"/>
    <w:rsid w:val="004B69CF"/>
    <w:rsid w:val="004B6E12"/>
    <w:rsid w:val="004B73C5"/>
    <w:rsid w:val="004B7EFB"/>
    <w:rsid w:val="004C001D"/>
    <w:rsid w:val="004C0137"/>
    <w:rsid w:val="004C02BD"/>
    <w:rsid w:val="004C0B98"/>
    <w:rsid w:val="004C11E2"/>
    <w:rsid w:val="004C3BF7"/>
    <w:rsid w:val="004C5063"/>
    <w:rsid w:val="004C7FF7"/>
    <w:rsid w:val="004D05E7"/>
    <w:rsid w:val="004D0B98"/>
    <w:rsid w:val="004D0E1E"/>
    <w:rsid w:val="004D0FC7"/>
    <w:rsid w:val="004D11D3"/>
    <w:rsid w:val="004D2C2B"/>
    <w:rsid w:val="004D2D39"/>
    <w:rsid w:val="004D3972"/>
    <w:rsid w:val="004D3EFF"/>
    <w:rsid w:val="004D3F0A"/>
    <w:rsid w:val="004D5483"/>
    <w:rsid w:val="004D7579"/>
    <w:rsid w:val="004D7D6C"/>
    <w:rsid w:val="004E1685"/>
    <w:rsid w:val="004E16B2"/>
    <w:rsid w:val="004E294D"/>
    <w:rsid w:val="004E2AB5"/>
    <w:rsid w:val="004E3DD5"/>
    <w:rsid w:val="004E5B65"/>
    <w:rsid w:val="004E7C4D"/>
    <w:rsid w:val="004E7D6A"/>
    <w:rsid w:val="004F02D9"/>
    <w:rsid w:val="004F046D"/>
    <w:rsid w:val="004F0E2D"/>
    <w:rsid w:val="004F1B83"/>
    <w:rsid w:val="004F1F01"/>
    <w:rsid w:val="004F2289"/>
    <w:rsid w:val="004F501A"/>
    <w:rsid w:val="004F6579"/>
    <w:rsid w:val="004F727E"/>
    <w:rsid w:val="004F779D"/>
    <w:rsid w:val="0050009F"/>
    <w:rsid w:val="005007A7"/>
    <w:rsid w:val="00502280"/>
    <w:rsid w:val="00502D2F"/>
    <w:rsid w:val="00503637"/>
    <w:rsid w:val="0050450C"/>
    <w:rsid w:val="005045E9"/>
    <w:rsid w:val="00504965"/>
    <w:rsid w:val="00506064"/>
    <w:rsid w:val="00506BA6"/>
    <w:rsid w:val="0051050D"/>
    <w:rsid w:val="00511C04"/>
    <w:rsid w:val="00514FFE"/>
    <w:rsid w:val="00515817"/>
    <w:rsid w:val="00515992"/>
    <w:rsid w:val="005208E7"/>
    <w:rsid w:val="00520F97"/>
    <w:rsid w:val="00521FC3"/>
    <w:rsid w:val="00522677"/>
    <w:rsid w:val="00522ABD"/>
    <w:rsid w:val="0052379A"/>
    <w:rsid w:val="00524904"/>
    <w:rsid w:val="0052578D"/>
    <w:rsid w:val="00525B60"/>
    <w:rsid w:val="0052703F"/>
    <w:rsid w:val="005278B8"/>
    <w:rsid w:val="00527C47"/>
    <w:rsid w:val="005306CF"/>
    <w:rsid w:val="005328E1"/>
    <w:rsid w:val="005340BC"/>
    <w:rsid w:val="00534E6E"/>
    <w:rsid w:val="005356B5"/>
    <w:rsid w:val="00535A49"/>
    <w:rsid w:val="00537E3A"/>
    <w:rsid w:val="0054021F"/>
    <w:rsid w:val="00540BBF"/>
    <w:rsid w:val="00541306"/>
    <w:rsid w:val="00541395"/>
    <w:rsid w:val="00542F12"/>
    <w:rsid w:val="00542F37"/>
    <w:rsid w:val="005438DB"/>
    <w:rsid w:val="00544CF9"/>
    <w:rsid w:val="00545277"/>
    <w:rsid w:val="005456B5"/>
    <w:rsid w:val="0054772B"/>
    <w:rsid w:val="0054785C"/>
    <w:rsid w:val="00547FA6"/>
    <w:rsid w:val="00550B08"/>
    <w:rsid w:val="0055124E"/>
    <w:rsid w:val="00552CD4"/>
    <w:rsid w:val="005544BB"/>
    <w:rsid w:val="005545E6"/>
    <w:rsid w:val="00555766"/>
    <w:rsid w:val="005563BD"/>
    <w:rsid w:val="00556EBF"/>
    <w:rsid w:val="00557A0A"/>
    <w:rsid w:val="0056161B"/>
    <w:rsid w:val="00562CB5"/>
    <w:rsid w:val="00562F4F"/>
    <w:rsid w:val="005634F9"/>
    <w:rsid w:val="00563BD5"/>
    <w:rsid w:val="00563E6B"/>
    <w:rsid w:val="0056442C"/>
    <w:rsid w:val="005655F7"/>
    <w:rsid w:val="00566585"/>
    <w:rsid w:val="00566B68"/>
    <w:rsid w:val="0057039C"/>
    <w:rsid w:val="0057063D"/>
    <w:rsid w:val="00570A0B"/>
    <w:rsid w:val="00571259"/>
    <w:rsid w:val="005726D9"/>
    <w:rsid w:val="00576BA3"/>
    <w:rsid w:val="005772E4"/>
    <w:rsid w:val="005777F5"/>
    <w:rsid w:val="005818FB"/>
    <w:rsid w:val="00581AB7"/>
    <w:rsid w:val="0058248E"/>
    <w:rsid w:val="00583BA5"/>
    <w:rsid w:val="00584EDA"/>
    <w:rsid w:val="005872B7"/>
    <w:rsid w:val="00590104"/>
    <w:rsid w:val="005909F6"/>
    <w:rsid w:val="00590E5A"/>
    <w:rsid w:val="0059149B"/>
    <w:rsid w:val="00591BBB"/>
    <w:rsid w:val="00592310"/>
    <w:rsid w:val="005925B6"/>
    <w:rsid w:val="00593CBE"/>
    <w:rsid w:val="00596C10"/>
    <w:rsid w:val="00596C64"/>
    <w:rsid w:val="00596D02"/>
    <w:rsid w:val="005970A5"/>
    <w:rsid w:val="00597CBC"/>
    <w:rsid w:val="005A07A4"/>
    <w:rsid w:val="005A0A8E"/>
    <w:rsid w:val="005A38A1"/>
    <w:rsid w:val="005A48BC"/>
    <w:rsid w:val="005A72F6"/>
    <w:rsid w:val="005A73BB"/>
    <w:rsid w:val="005B07ED"/>
    <w:rsid w:val="005B0D59"/>
    <w:rsid w:val="005B3112"/>
    <w:rsid w:val="005B3F92"/>
    <w:rsid w:val="005B41D3"/>
    <w:rsid w:val="005B43A7"/>
    <w:rsid w:val="005B4605"/>
    <w:rsid w:val="005B536C"/>
    <w:rsid w:val="005B5F1A"/>
    <w:rsid w:val="005B7193"/>
    <w:rsid w:val="005C06D3"/>
    <w:rsid w:val="005C0EBA"/>
    <w:rsid w:val="005C21CA"/>
    <w:rsid w:val="005C2726"/>
    <w:rsid w:val="005C36D1"/>
    <w:rsid w:val="005C4A38"/>
    <w:rsid w:val="005C5ABD"/>
    <w:rsid w:val="005C6009"/>
    <w:rsid w:val="005C7594"/>
    <w:rsid w:val="005D03E4"/>
    <w:rsid w:val="005D0796"/>
    <w:rsid w:val="005D085B"/>
    <w:rsid w:val="005D0A06"/>
    <w:rsid w:val="005D116B"/>
    <w:rsid w:val="005D1604"/>
    <w:rsid w:val="005D1C58"/>
    <w:rsid w:val="005D2CC9"/>
    <w:rsid w:val="005D3A83"/>
    <w:rsid w:val="005D5232"/>
    <w:rsid w:val="005D5B89"/>
    <w:rsid w:val="005D6840"/>
    <w:rsid w:val="005D7B97"/>
    <w:rsid w:val="005E1876"/>
    <w:rsid w:val="005E198B"/>
    <w:rsid w:val="005E1D9D"/>
    <w:rsid w:val="005E3332"/>
    <w:rsid w:val="005E39C7"/>
    <w:rsid w:val="005E3B6A"/>
    <w:rsid w:val="005E3BDD"/>
    <w:rsid w:val="005E5EA3"/>
    <w:rsid w:val="005E7BA6"/>
    <w:rsid w:val="005F08ED"/>
    <w:rsid w:val="005F1B24"/>
    <w:rsid w:val="005F27B4"/>
    <w:rsid w:val="005F3608"/>
    <w:rsid w:val="005F38DE"/>
    <w:rsid w:val="005F3C94"/>
    <w:rsid w:val="005F4E1A"/>
    <w:rsid w:val="005F5472"/>
    <w:rsid w:val="005F553E"/>
    <w:rsid w:val="005F63F7"/>
    <w:rsid w:val="005F6B1B"/>
    <w:rsid w:val="00600D07"/>
    <w:rsid w:val="006013BC"/>
    <w:rsid w:val="00602482"/>
    <w:rsid w:val="00602D9E"/>
    <w:rsid w:val="00606032"/>
    <w:rsid w:val="006104B5"/>
    <w:rsid w:val="006109D4"/>
    <w:rsid w:val="00610A9C"/>
    <w:rsid w:val="006113A4"/>
    <w:rsid w:val="00611451"/>
    <w:rsid w:val="0061554A"/>
    <w:rsid w:val="006158B2"/>
    <w:rsid w:val="00615D71"/>
    <w:rsid w:val="00616953"/>
    <w:rsid w:val="0061717C"/>
    <w:rsid w:val="00620B10"/>
    <w:rsid w:val="00621F28"/>
    <w:rsid w:val="00622904"/>
    <w:rsid w:val="00624887"/>
    <w:rsid w:val="0062586E"/>
    <w:rsid w:val="00625D0F"/>
    <w:rsid w:val="0062693B"/>
    <w:rsid w:val="0062763D"/>
    <w:rsid w:val="0063346A"/>
    <w:rsid w:val="00633595"/>
    <w:rsid w:val="006336EC"/>
    <w:rsid w:val="00633CA1"/>
    <w:rsid w:val="00633E3A"/>
    <w:rsid w:val="00634F8B"/>
    <w:rsid w:val="00635A8C"/>
    <w:rsid w:val="00635D02"/>
    <w:rsid w:val="006373C3"/>
    <w:rsid w:val="006374A8"/>
    <w:rsid w:val="006377D6"/>
    <w:rsid w:val="006406D8"/>
    <w:rsid w:val="006424CB"/>
    <w:rsid w:val="006456DB"/>
    <w:rsid w:val="00645787"/>
    <w:rsid w:val="006459D3"/>
    <w:rsid w:val="00645D84"/>
    <w:rsid w:val="0064717F"/>
    <w:rsid w:val="00647BCC"/>
    <w:rsid w:val="00650F73"/>
    <w:rsid w:val="00651895"/>
    <w:rsid w:val="006557F9"/>
    <w:rsid w:val="00656E53"/>
    <w:rsid w:val="00656F1D"/>
    <w:rsid w:val="00657113"/>
    <w:rsid w:val="00657C3E"/>
    <w:rsid w:val="00663370"/>
    <w:rsid w:val="00663EC5"/>
    <w:rsid w:val="00664FFB"/>
    <w:rsid w:val="00665798"/>
    <w:rsid w:val="00667554"/>
    <w:rsid w:val="006705E6"/>
    <w:rsid w:val="00670607"/>
    <w:rsid w:val="00671E52"/>
    <w:rsid w:val="0067473A"/>
    <w:rsid w:val="00674AAA"/>
    <w:rsid w:val="00675B98"/>
    <w:rsid w:val="006761F7"/>
    <w:rsid w:val="00677AA9"/>
    <w:rsid w:val="00680334"/>
    <w:rsid w:val="00680B59"/>
    <w:rsid w:val="00681394"/>
    <w:rsid w:val="006816F5"/>
    <w:rsid w:val="00681E40"/>
    <w:rsid w:val="00682160"/>
    <w:rsid w:val="00682575"/>
    <w:rsid w:val="00682945"/>
    <w:rsid w:val="00682E1A"/>
    <w:rsid w:val="00683A89"/>
    <w:rsid w:val="00684A60"/>
    <w:rsid w:val="00685EBE"/>
    <w:rsid w:val="006875BF"/>
    <w:rsid w:val="006879AA"/>
    <w:rsid w:val="00691F01"/>
    <w:rsid w:val="006926D8"/>
    <w:rsid w:val="00693994"/>
    <w:rsid w:val="00693FA3"/>
    <w:rsid w:val="00694A2B"/>
    <w:rsid w:val="00695966"/>
    <w:rsid w:val="006A003D"/>
    <w:rsid w:val="006A25B9"/>
    <w:rsid w:val="006A2AC5"/>
    <w:rsid w:val="006A3BE8"/>
    <w:rsid w:val="006A531B"/>
    <w:rsid w:val="006A5961"/>
    <w:rsid w:val="006A6608"/>
    <w:rsid w:val="006A7636"/>
    <w:rsid w:val="006A7B50"/>
    <w:rsid w:val="006A7D2D"/>
    <w:rsid w:val="006B37CB"/>
    <w:rsid w:val="006B6802"/>
    <w:rsid w:val="006B6F50"/>
    <w:rsid w:val="006B7051"/>
    <w:rsid w:val="006C0B1C"/>
    <w:rsid w:val="006C0DCA"/>
    <w:rsid w:val="006C221D"/>
    <w:rsid w:val="006C398D"/>
    <w:rsid w:val="006C47A3"/>
    <w:rsid w:val="006C5A3C"/>
    <w:rsid w:val="006C5CAA"/>
    <w:rsid w:val="006D0631"/>
    <w:rsid w:val="006D0BC3"/>
    <w:rsid w:val="006D0E62"/>
    <w:rsid w:val="006D1168"/>
    <w:rsid w:val="006D3482"/>
    <w:rsid w:val="006D6030"/>
    <w:rsid w:val="006D6225"/>
    <w:rsid w:val="006D6A20"/>
    <w:rsid w:val="006D6FEC"/>
    <w:rsid w:val="006D7294"/>
    <w:rsid w:val="006D7684"/>
    <w:rsid w:val="006D7C98"/>
    <w:rsid w:val="006E0CBE"/>
    <w:rsid w:val="006E16F8"/>
    <w:rsid w:val="006E2164"/>
    <w:rsid w:val="006E32F9"/>
    <w:rsid w:val="006E37ED"/>
    <w:rsid w:val="006E3A44"/>
    <w:rsid w:val="006E3FEB"/>
    <w:rsid w:val="006E5BBB"/>
    <w:rsid w:val="006E60EC"/>
    <w:rsid w:val="006F2003"/>
    <w:rsid w:val="006F3023"/>
    <w:rsid w:val="006F66F0"/>
    <w:rsid w:val="0070169C"/>
    <w:rsid w:val="0070211C"/>
    <w:rsid w:val="0070266C"/>
    <w:rsid w:val="00702E11"/>
    <w:rsid w:val="00703180"/>
    <w:rsid w:val="007032D9"/>
    <w:rsid w:val="00703738"/>
    <w:rsid w:val="00704CE9"/>
    <w:rsid w:val="007051F4"/>
    <w:rsid w:val="007065A0"/>
    <w:rsid w:val="00707391"/>
    <w:rsid w:val="00712014"/>
    <w:rsid w:val="00714DAC"/>
    <w:rsid w:val="007156AC"/>
    <w:rsid w:val="00715F2F"/>
    <w:rsid w:val="007167CE"/>
    <w:rsid w:val="0072006A"/>
    <w:rsid w:val="0072077D"/>
    <w:rsid w:val="00721CAE"/>
    <w:rsid w:val="00722507"/>
    <w:rsid w:val="00723B9B"/>
    <w:rsid w:val="00723FE1"/>
    <w:rsid w:val="007240E9"/>
    <w:rsid w:val="00724984"/>
    <w:rsid w:val="0072621F"/>
    <w:rsid w:val="00726508"/>
    <w:rsid w:val="00726E44"/>
    <w:rsid w:val="00727DB9"/>
    <w:rsid w:val="00730D0E"/>
    <w:rsid w:val="0073161B"/>
    <w:rsid w:val="00733D2B"/>
    <w:rsid w:val="00733E0F"/>
    <w:rsid w:val="00733EEB"/>
    <w:rsid w:val="007343FA"/>
    <w:rsid w:val="00734E51"/>
    <w:rsid w:val="00735822"/>
    <w:rsid w:val="00735A6E"/>
    <w:rsid w:val="0073740C"/>
    <w:rsid w:val="00737F35"/>
    <w:rsid w:val="007402BB"/>
    <w:rsid w:val="0074174A"/>
    <w:rsid w:val="00742DBC"/>
    <w:rsid w:val="00745572"/>
    <w:rsid w:val="0074588F"/>
    <w:rsid w:val="00746C0A"/>
    <w:rsid w:val="00750B02"/>
    <w:rsid w:val="00750D94"/>
    <w:rsid w:val="00751822"/>
    <w:rsid w:val="0075247E"/>
    <w:rsid w:val="00753053"/>
    <w:rsid w:val="0075450D"/>
    <w:rsid w:val="0075673D"/>
    <w:rsid w:val="007567E9"/>
    <w:rsid w:val="00756DB0"/>
    <w:rsid w:val="00757DBC"/>
    <w:rsid w:val="0076058D"/>
    <w:rsid w:val="00760D46"/>
    <w:rsid w:val="00761D5A"/>
    <w:rsid w:val="0076228F"/>
    <w:rsid w:val="007630CE"/>
    <w:rsid w:val="00763A6A"/>
    <w:rsid w:val="00763C14"/>
    <w:rsid w:val="007642E9"/>
    <w:rsid w:val="00765EA8"/>
    <w:rsid w:val="00766EC7"/>
    <w:rsid w:val="007700E5"/>
    <w:rsid w:val="007711B0"/>
    <w:rsid w:val="00772E5C"/>
    <w:rsid w:val="007744EA"/>
    <w:rsid w:val="007761D4"/>
    <w:rsid w:val="00776285"/>
    <w:rsid w:val="00777EE3"/>
    <w:rsid w:val="00781FB4"/>
    <w:rsid w:val="00782770"/>
    <w:rsid w:val="00784376"/>
    <w:rsid w:val="00784FBF"/>
    <w:rsid w:val="00785FED"/>
    <w:rsid w:val="0078663E"/>
    <w:rsid w:val="00790552"/>
    <w:rsid w:val="00790575"/>
    <w:rsid w:val="00790E1B"/>
    <w:rsid w:val="00792278"/>
    <w:rsid w:val="00793168"/>
    <w:rsid w:val="007934A2"/>
    <w:rsid w:val="007934CB"/>
    <w:rsid w:val="00793739"/>
    <w:rsid w:val="00794EA1"/>
    <w:rsid w:val="00795E19"/>
    <w:rsid w:val="007971A6"/>
    <w:rsid w:val="00797EC8"/>
    <w:rsid w:val="007A06A6"/>
    <w:rsid w:val="007A40F3"/>
    <w:rsid w:val="007A60E1"/>
    <w:rsid w:val="007A7CA8"/>
    <w:rsid w:val="007B01F7"/>
    <w:rsid w:val="007B176C"/>
    <w:rsid w:val="007B2E83"/>
    <w:rsid w:val="007B3145"/>
    <w:rsid w:val="007B4912"/>
    <w:rsid w:val="007B55B9"/>
    <w:rsid w:val="007B64B8"/>
    <w:rsid w:val="007B6D70"/>
    <w:rsid w:val="007B7ECC"/>
    <w:rsid w:val="007C0E4E"/>
    <w:rsid w:val="007C1761"/>
    <w:rsid w:val="007C33A2"/>
    <w:rsid w:val="007C3B21"/>
    <w:rsid w:val="007C44B7"/>
    <w:rsid w:val="007C475E"/>
    <w:rsid w:val="007C5088"/>
    <w:rsid w:val="007C72C0"/>
    <w:rsid w:val="007C7457"/>
    <w:rsid w:val="007C7F90"/>
    <w:rsid w:val="007D0340"/>
    <w:rsid w:val="007D0913"/>
    <w:rsid w:val="007D2374"/>
    <w:rsid w:val="007D3268"/>
    <w:rsid w:val="007D5731"/>
    <w:rsid w:val="007D6AFF"/>
    <w:rsid w:val="007D723E"/>
    <w:rsid w:val="007E06ED"/>
    <w:rsid w:val="007E3F95"/>
    <w:rsid w:val="007E4E15"/>
    <w:rsid w:val="007E72A2"/>
    <w:rsid w:val="007F0BB0"/>
    <w:rsid w:val="007F0D79"/>
    <w:rsid w:val="007F3084"/>
    <w:rsid w:val="007F32A8"/>
    <w:rsid w:val="007F40B6"/>
    <w:rsid w:val="007F4621"/>
    <w:rsid w:val="007F51D1"/>
    <w:rsid w:val="007F61DE"/>
    <w:rsid w:val="007F63F1"/>
    <w:rsid w:val="007F7182"/>
    <w:rsid w:val="0080162F"/>
    <w:rsid w:val="008056A4"/>
    <w:rsid w:val="00806031"/>
    <w:rsid w:val="00806A18"/>
    <w:rsid w:val="008071A3"/>
    <w:rsid w:val="00807D1E"/>
    <w:rsid w:val="00811142"/>
    <w:rsid w:val="008116D2"/>
    <w:rsid w:val="00811EC3"/>
    <w:rsid w:val="00813777"/>
    <w:rsid w:val="00813F8A"/>
    <w:rsid w:val="00814C88"/>
    <w:rsid w:val="00814EAE"/>
    <w:rsid w:val="00815528"/>
    <w:rsid w:val="00815A69"/>
    <w:rsid w:val="00817379"/>
    <w:rsid w:val="00820A94"/>
    <w:rsid w:val="00820C60"/>
    <w:rsid w:val="008224CB"/>
    <w:rsid w:val="00823987"/>
    <w:rsid w:val="00823F25"/>
    <w:rsid w:val="00823F3A"/>
    <w:rsid w:val="00824011"/>
    <w:rsid w:val="00825213"/>
    <w:rsid w:val="008254E3"/>
    <w:rsid w:val="008261D5"/>
    <w:rsid w:val="0082687C"/>
    <w:rsid w:val="00826882"/>
    <w:rsid w:val="00827A7A"/>
    <w:rsid w:val="00830173"/>
    <w:rsid w:val="00831114"/>
    <w:rsid w:val="008322C2"/>
    <w:rsid w:val="00833DF0"/>
    <w:rsid w:val="00834B60"/>
    <w:rsid w:val="008352DF"/>
    <w:rsid w:val="00836BE8"/>
    <w:rsid w:val="008376C6"/>
    <w:rsid w:val="0083781C"/>
    <w:rsid w:val="008378A5"/>
    <w:rsid w:val="00840748"/>
    <w:rsid w:val="008407FD"/>
    <w:rsid w:val="0084087D"/>
    <w:rsid w:val="00841896"/>
    <w:rsid w:val="008428AF"/>
    <w:rsid w:val="00842AA5"/>
    <w:rsid w:val="008435BC"/>
    <w:rsid w:val="00843BF7"/>
    <w:rsid w:val="008452F8"/>
    <w:rsid w:val="0084548A"/>
    <w:rsid w:val="008472D4"/>
    <w:rsid w:val="008509BE"/>
    <w:rsid w:val="00850F49"/>
    <w:rsid w:val="00856ABA"/>
    <w:rsid w:val="0086026A"/>
    <w:rsid w:val="00861517"/>
    <w:rsid w:val="00861C71"/>
    <w:rsid w:val="008627EF"/>
    <w:rsid w:val="00864B13"/>
    <w:rsid w:val="00864D15"/>
    <w:rsid w:val="008650D5"/>
    <w:rsid w:val="0086560D"/>
    <w:rsid w:val="00865F61"/>
    <w:rsid w:val="00866088"/>
    <w:rsid w:val="00866E5D"/>
    <w:rsid w:val="00867BF5"/>
    <w:rsid w:val="008701C6"/>
    <w:rsid w:val="00870438"/>
    <w:rsid w:val="0087124B"/>
    <w:rsid w:val="00871544"/>
    <w:rsid w:val="008716CA"/>
    <w:rsid w:val="008739D2"/>
    <w:rsid w:val="00874666"/>
    <w:rsid w:val="008754B3"/>
    <w:rsid w:val="00875845"/>
    <w:rsid w:val="0087705F"/>
    <w:rsid w:val="00880917"/>
    <w:rsid w:val="0088338B"/>
    <w:rsid w:val="00883E69"/>
    <w:rsid w:val="00886084"/>
    <w:rsid w:val="00887400"/>
    <w:rsid w:val="00887728"/>
    <w:rsid w:val="0089141B"/>
    <w:rsid w:val="008919E2"/>
    <w:rsid w:val="00892799"/>
    <w:rsid w:val="00893BD3"/>
    <w:rsid w:val="00897898"/>
    <w:rsid w:val="00897C50"/>
    <w:rsid w:val="008A145B"/>
    <w:rsid w:val="008A170F"/>
    <w:rsid w:val="008A17F4"/>
    <w:rsid w:val="008A201A"/>
    <w:rsid w:val="008A2872"/>
    <w:rsid w:val="008A3141"/>
    <w:rsid w:val="008A359E"/>
    <w:rsid w:val="008A7433"/>
    <w:rsid w:val="008B00D5"/>
    <w:rsid w:val="008B3742"/>
    <w:rsid w:val="008B6568"/>
    <w:rsid w:val="008B73B2"/>
    <w:rsid w:val="008B785A"/>
    <w:rsid w:val="008C0CB5"/>
    <w:rsid w:val="008C3BD2"/>
    <w:rsid w:val="008C6230"/>
    <w:rsid w:val="008C63A5"/>
    <w:rsid w:val="008C6469"/>
    <w:rsid w:val="008C6BAA"/>
    <w:rsid w:val="008C74F2"/>
    <w:rsid w:val="008C7A14"/>
    <w:rsid w:val="008D04B2"/>
    <w:rsid w:val="008D08C5"/>
    <w:rsid w:val="008D1003"/>
    <w:rsid w:val="008D215D"/>
    <w:rsid w:val="008D215F"/>
    <w:rsid w:val="008D3162"/>
    <w:rsid w:val="008D37C3"/>
    <w:rsid w:val="008D3D7F"/>
    <w:rsid w:val="008D422E"/>
    <w:rsid w:val="008D4B27"/>
    <w:rsid w:val="008D61B7"/>
    <w:rsid w:val="008D7516"/>
    <w:rsid w:val="008D7F15"/>
    <w:rsid w:val="008E164B"/>
    <w:rsid w:val="008E173C"/>
    <w:rsid w:val="008E1915"/>
    <w:rsid w:val="008E2DE0"/>
    <w:rsid w:val="008E31D4"/>
    <w:rsid w:val="008E3C72"/>
    <w:rsid w:val="008E3EA7"/>
    <w:rsid w:val="008E44B5"/>
    <w:rsid w:val="008E4640"/>
    <w:rsid w:val="008E49BB"/>
    <w:rsid w:val="008E6EBA"/>
    <w:rsid w:val="008E6F12"/>
    <w:rsid w:val="008F04D1"/>
    <w:rsid w:val="008F0C71"/>
    <w:rsid w:val="008F1FCF"/>
    <w:rsid w:val="008F2339"/>
    <w:rsid w:val="008F29BE"/>
    <w:rsid w:val="008F2AD8"/>
    <w:rsid w:val="008F4D25"/>
    <w:rsid w:val="008F5047"/>
    <w:rsid w:val="008F7122"/>
    <w:rsid w:val="00900D53"/>
    <w:rsid w:val="00901DD9"/>
    <w:rsid w:val="00902F37"/>
    <w:rsid w:val="00903D01"/>
    <w:rsid w:val="00906645"/>
    <w:rsid w:val="00906C03"/>
    <w:rsid w:val="00907033"/>
    <w:rsid w:val="00910080"/>
    <w:rsid w:val="009111BA"/>
    <w:rsid w:val="00911676"/>
    <w:rsid w:val="0091196E"/>
    <w:rsid w:val="00912F2F"/>
    <w:rsid w:val="00912F4C"/>
    <w:rsid w:val="009130EE"/>
    <w:rsid w:val="0091350F"/>
    <w:rsid w:val="00915268"/>
    <w:rsid w:val="0091552F"/>
    <w:rsid w:val="0091716B"/>
    <w:rsid w:val="0091738B"/>
    <w:rsid w:val="00917960"/>
    <w:rsid w:val="00920009"/>
    <w:rsid w:val="00922315"/>
    <w:rsid w:val="00922CB9"/>
    <w:rsid w:val="009230CC"/>
    <w:rsid w:val="00923448"/>
    <w:rsid w:val="0092354A"/>
    <w:rsid w:val="00923586"/>
    <w:rsid w:val="0092663A"/>
    <w:rsid w:val="00926F2B"/>
    <w:rsid w:val="0092728B"/>
    <w:rsid w:val="00927DDD"/>
    <w:rsid w:val="00931166"/>
    <w:rsid w:val="00931741"/>
    <w:rsid w:val="00931FC5"/>
    <w:rsid w:val="00932260"/>
    <w:rsid w:val="00932D79"/>
    <w:rsid w:val="00932DC7"/>
    <w:rsid w:val="00933EDF"/>
    <w:rsid w:val="009342DF"/>
    <w:rsid w:val="009343B8"/>
    <w:rsid w:val="00934638"/>
    <w:rsid w:val="009359B8"/>
    <w:rsid w:val="00936443"/>
    <w:rsid w:val="00937350"/>
    <w:rsid w:val="0093743E"/>
    <w:rsid w:val="009375C8"/>
    <w:rsid w:val="009377EF"/>
    <w:rsid w:val="009378BC"/>
    <w:rsid w:val="0094064F"/>
    <w:rsid w:val="00941032"/>
    <w:rsid w:val="00941238"/>
    <w:rsid w:val="00941DCF"/>
    <w:rsid w:val="0094294B"/>
    <w:rsid w:val="00943AF0"/>
    <w:rsid w:val="00943E91"/>
    <w:rsid w:val="0094628B"/>
    <w:rsid w:val="00946985"/>
    <w:rsid w:val="009469A8"/>
    <w:rsid w:val="00950326"/>
    <w:rsid w:val="00950EEF"/>
    <w:rsid w:val="00953ABC"/>
    <w:rsid w:val="009540DC"/>
    <w:rsid w:val="009548ED"/>
    <w:rsid w:val="009561B5"/>
    <w:rsid w:val="009570E2"/>
    <w:rsid w:val="00957D6F"/>
    <w:rsid w:val="009603AF"/>
    <w:rsid w:val="009630D8"/>
    <w:rsid w:val="009641C1"/>
    <w:rsid w:val="00965D00"/>
    <w:rsid w:val="009672C2"/>
    <w:rsid w:val="00967C9A"/>
    <w:rsid w:val="00970E20"/>
    <w:rsid w:val="009710AE"/>
    <w:rsid w:val="009723C6"/>
    <w:rsid w:val="00973BE3"/>
    <w:rsid w:val="009742D3"/>
    <w:rsid w:val="00974B2E"/>
    <w:rsid w:val="00976213"/>
    <w:rsid w:val="009777BA"/>
    <w:rsid w:val="009810BD"/>
    <w:rsid w:val="0098144C"/>
    <w:rsid w:val="009820C0"/>
    <w:rsid w:val="00986C54"/>
    <w:rsid w:val="009871A3"/>
    <w:rsid w:val="009904D2"/>
    <w:rsid w:val="00993384"/>
    <w:rsid w:val="009936F3"/>
    <w:rsid w:val="00994C1E"/>
    <w:rsid w:val="00994FA6"/>
    <w:rsid w:val="0099525E"/>
    <w:rsid w:val="00995F6F"/>
    <w:rsid w:val="009971FF"/>
    <w:rsid w:val="00997361"/>
    <w:rsid w:val="00997591"/>
    <w:rsid w:val="00997E19"/>
    <w:rsid w:val="009A0164"/>
    <w:rsid w:val="009A0688"/>
    <w:rsid w:val="009A0EB4"/>
    <w:rsid w:val="009A101A"/>
    <w:rsid w:val="009A203A"/>
    <w:rsid w:val="009A25A8"/>
    <w:rsid w:val="009A5E9C"/>
    <w:rsid w:val="009A6137"/>
    <w:rsid w:val="009B4459"/>
    <w:rsid w:val="009B4714"/>
    <w:rsid w:val="009B4AA8"/>
    <w:rsid w:val="009B607B"/>
    <w:rsid w:val="009B609B"/>
    <w:rsid w:val="009B6CF4"/>
    <w:rsid w:val="009B783B"/>
    <w:rsid w:val="009C18BD"/>
    <w:rsid w:val="009C556B"/>
    <w:rsid w:val="009C5696"/>
    <w:rsid w:val="009C6082"/>
    <w:rsid w:val="009C60DF"/>
    <w:rsid w:val="009D138C"/>
    <w:rsid w:val="009D4A14"/>
    <w:rsid w:val="009D4DB5"/>
    <w:rsid w:val="009D6B24"/>
    <w:rsid w:val="009D6F06"/>
    <w:rsid w:val="009D70CF"/>
    <w:rsid w:val="009E3FD7"/>
    <w:rsid w:val="009E48BD"/>
    <w:rsid w:val="009E5159"/>
    <w:rsid w:val="009E55EB"/>
    <w:rsid w:val="009E575A"/>
    <w:rsid w:val="009E5A7D"/>
    <w:rsid w:val="009E61BB"/>
    <w:rsid w:val="009F1976"/>
    <w:rsid w:val="009F1CDA"/>
    <w:rsid w:val="009F214E"/>
    <w:rsid w:val="009F2D53"/>
    <w:rsid w:val="009F57FA"/>
    <w:rsid w:val="009F61BC"/>
    <w:rsid w:val="009F6E47"/>
    <w:rsid w:val="009F73FA"/>
    <w:rsid w:val="009F7424"/>
    <w:rsid w:val="009F7D73"/>
    <w:rsid w:val="009F7E47"/>
    <w:rsid w:val="00A01E51"/>
    <w:rsid w:val="00A02DF8"/>
    <w:rsid w:val="00A0338E"/>
    <w:rsid w:val="00A044C0"/>
    <w:rsid w:val="00A05B99"/>
    <w:rsid w:val="00A05D50"/>
    <w:rsid w:val="00A10085"/>
    <w:rsid w:val="00A10707"/>
    <w:rsid w:val="00A10A09"/>
    <w:rsid w:val="00A11761"/>
    <w:rsid w:val="00A11FEE"/>
    <w:rsid w:val="00A13BAE"/>
    <w:rsid w:val="00A16B6D"/>
    <w:rsid w:val="00A171BE"/>
    <w:rsid w:val="00A2095E"/>
    <w:rsid w:val="00A224A3"/>
    <w:rsid w:val="00A23AFE"/>
    <w:rsid w:val="00A24027"/>
    <w:rsid w:val="00A256FE"/>
    <w:rsid w:val="00A26549"/>
    <w:rsid w:val="00A276DD"/>
    <w:rsid w:val="00A2791F"/>
    <w:rsid w:val="00A312E9"/>
    <w:rsid w:val="00A31CEA"/>
    <w:rsid w:val="00A32794"/>
    <w:rsid w:val="00A33411"/>
    <w:rsid w:val="00A35B1D"/>
    <w:rsid w:val="00A35BC0"/>
    <w:rsid w:val="00A35ECD"/>
    <w:rsid w:val="00A379FF"/>
    <w:rsid w:val="00A407CA"/>
    <w:rsid w:val="00A414D2"/>
    <w:rsid w:val="00A41A85"/>
    <w:rsid w:val="00A451CE"/>
    <w:rsid w:val="00A4679D"/>
    <w:rsid w:val="00A476D9"/>
    <w:rsid w:val="00A47893"/>
    <w:rsid w:val="00A50F6B"/>
    <w:rsid w:val="00A51568"/>
    <w:rsid w:val="00A51B30"/>
    <w:rsid w:val="00A51F13"/>
    <w:rsid w:val="00A522CB"/>
    <w:rsid w:val="00A533FA"/>
    <w:rsid w:val="00A535D2"/>
    <w:rsid w:val="00A53E0F"/>
    <w:rsid w:val="00A54C3C"/>
    <w:rsid w:val="00A54EE4"/>
    <w:rsid w:val="00A5500F"/>
    <w:rsid w:val="00A56EFA"/>
    <w:rsid w:val="00A57EFA"/>
    <w:rsid w:val="00A57F17"/>
    <w:rsid w:val="00A60A7A"/>
    <w:rsid w:val="00A61732"/>
    <w:rsid w:val="00A61823"/>
    <w:rsid w:val="00A62CE7"/>
    <w:rsid w:val="00A64077"/>
    <w:rsid w:val="00A64751"/>
    <w:rsid w:val="00A64887"/>
    <w:rsid w:val="00A6516B"/>
    <w:rsid w:val="00A65FD2"/>
    <w:rsid w:val="00A6691F"/>
    <w:rsid w:val="00A66CA8"/>
    <w:rsid w:val="00A71F71"/>
    <w:rsid w:val="00A72F4B"/>
    <w:rsid w:val="00A7313B"/>
    <w:rsid w:val="00A74DB6"/>
    <w:rsid w:val="00A74EA3"/>
    <w:rsid w:val="00A75A9B"/>
    <w:rsid w:val="00A76C23"/>
    <w:rsid w:val="00A773EE"/>
    <w:rsid w:val="00A77F15"/>
    <w:rsid w:val="00A8014B"/>
    <w:rsid w:val="00A80F33"/>
    <w:rsid w:val="00A80FDD"/>
    <w:rsid w:val="00A81058"/>
    <w:rsid w:val="00A8173C"/>
    <w:rsid w:val="00A842B3"/>
    <w:rsid w:val="00A847F1"/>
    <w:rsid w:val="00A86D27"/>
    <w:rsid w:val="00A91184"/>
    <w:rsid w:val="00A91419"/>
    <w:rsid w:val="00A923ED"/>
    <w:rsid w:val="00A9244A"/>
    <w:rsid w:val="00A92968"/>
    <w:rsid w:val="00A93676"/>
    <w:rsid w:val="00A93AD7"/>
    <w:rsid w:val="00A9497E"/>
    <w:rsid w:val="00A94FF6"/>
    <w:rsid w:val="00A95AE3"/>
    <w:rsid w:val="00A95D8F"/>
    <w:rsid w:val="00A968D4"/>
    <w:rsid w:val="00AA0F9C"/>
    <w:rsid w:val="00AA131D"/>
    <w:rsid w:val="00AA3153"/>
    <w:rsid w:val="00AA3E47"/>
    <w:rsid w:val="00AA6878"/>
    <w:rsid w:val="00AA7410"/>
    <w:rsid w:val="00AA7BE9"/>
    <w:rsid w:val="00AB02F9"/>
    <w:rsid w:val="00AB05D1"/>
    <w:rsid w:val="00AB131F"/>
    <w:rsid w:val="00AB1BC5"/>
    <w:rsid w:val="00AB38CA"/>
    <w:rsid w:val="00AB4E02"/>
    <w:rsid w:val="00AC0CEC"/>
    <w:rsid w:val="00AC15C4"/>
    <w:rsid w:val="00AC198E"/>
    <w:rsid w:val="00AC2391"/>
    <w:rsid w:val="00AC31A0"/>
    <w:rsid w:val="00AC3607"/>
    <w:rsid w:val="00AC4409"/>
    <w:rsid w:val="00AC5E7F"/>
    <w:rsid w:val="00AC6A28"/>
    <w:rsid w:val="00AD0EBD"/>
    <w:rsid w:val="00AD1092"/>
    <w:rsid w:val="00AD214C"/>
    <w:rsid w:val="00AD287C"/>
    <w:rsid w:val="00AD3598"/>
    <w:rsid w:val="00AD3F14"/>
    <w:rsid w:val="00AD4081"/>
    <w:rsid w:val="00AD4691"/>
    <w:rsid w:val="00AD4B6E"/>
    <w:rsid w:val="00AD6C05"/>
    <w:rsid w:val="00AD7F82"/>
    <w:rsid w:val="00AE18A4"/>
    <w:rsid w:val="00AE1A8D"/>
    <w:rsid w:val="00AE26C0"/>
    <w:rsid w:val="00AE40CF"/>
    <w:rsid w:val="00AE5D5A"/>
    <w:rsid w:val="00AE6811"/>
    <w:rsid w:val="00AE6E95"/>
    <w:rsid w:val="00AF09BE"/>
    <w:rsid w:val="00AF1580"/>
    <w:rsid w:val="00AF2048"/>
    <w:rsid w:val="00AF3EC1"/>
    <w:rsid w:val="00AF4C1F"/>
    <w:rsid w:val="00AF616D"/>
    <w:rsid w:val="00AF66D6"/>
    <w:rsid w:val="00AF7979"/>
    <w:rsid w:val="00AF7B05"/>
    <w:rsid w:val="00B0043F"/>
    <w:rsid w:val="00B00C53"/>
    <w:rsid w:val="00B0215E"/>
    <w:rsid w:val="00B03C1D"/>
    <w:rsid w:val="00B048C8"/>
    <w:rsid w:val="00B04C5D"/>
    <w:rsid w:val="00B05D70"/>
    <w:rsid w:val="00B069DB"/>
    <w:rsid w:val="00B10247"/>
    <w:rsid w:val="00B10409"/>
    <w:rsid w:val="00B1262F"/>
    <w:rsid w:val="00B1293A"/>
    <w:rsid w:val="00B12C78"/>
    <w:rsid w:val="00B14355"/>
    <w:rsid w:val="00B150C9"/>
    <w:rsid w:val="00B15E45"/>
    <w:rsid w:val="00B17220"/>
    <w:rsid w:val="00B174E1"/>
    <w:rsid w:val="00B17A08"/>
    <w:rsid w:val="00B20063"/>
    <w:rsid w:val="00B20212"/>
    <w:rsid w:val="00B20A4F"/>
    <w:rsid w:val="00B20E79"/>
    <w:rsid w:val="00B21226"/>
    <w:rsid w:val="00B21CF8"/>
    <w:rsid w:val="00B22630"/>
    <w:rsid w:val="00B23849"/>
    <w:rsid w:val="00B24506"/>
    <w:rsid w:val="00B24D94"/>
    <w:rsid w:val="00B2603C"/>
    <w:rsid w:val="00B26AEA"/>
    <w:rsid w:val="00B27CB0"/>
    <w:rsid w:val="00B311F0"/>
    <w:rsid w:val="00B3364D"/>
    <w:rsid w:val="00B33CD9"/>
    <w:rsid w:val="00B34E23"/>
    <w:rsid w:val="00B373D7"/>
    <w:rsid w:val="00B376B7"/>
    <w:rsid w:val="00B40375"/>
    <w:rsid w:val="00B420AA"/>
    <w:rsid w:val="00B442E1"/>
    <w:rsid w:val="00B4656C"/>
    <w:rsid w:val="00B47229"/>
    <w:rsid w:val="00B5093A"/>
    <w:rsid w:val="00B50B74"/>
    <w:rsid w:val="00B50BB6"/>
    <w:rsid w:val="00B51A3F"/>
    <w:rsid w:val="00B526A0"/>
    <w:rsid w:val="00B52BAE"/>
    <w:rsid w:val="00B53532"/>
    <w:rsid w:val="00B54B40"/>
    <w:rsid w:val="00B55494"/>
    <w:rsid w:val="00B55901"/>
    <w:rsid w:val="00B56B12"/>
    <w:rsid w:val="00B57E56"/>
    <w:rsid w:val="00B602F1"/>
    <w:rsid w:val="00B634E5"/>
    <w:rsid w:val="00B64365"/>
    <w:rsid w:val="00B656D4"/>
    <w:rsid w:val="00B65C08"/>
    <w:rsid w:val="00B66504"/>
    <w:rsid w:val="00B66C26"/>
    <w:rsid w:val="00B672CD"/>
    <w:rsid w:val="00B7073A"/>
    <w:rsid w:val="00B71FA4"/>
    <w:rsid w:val="00B72FC6"/>
    <w:rsid w:val="00B7337D"/>
    <w:rsid w:val="00B73CB9"/>
    <w:rsid w:val="00B746B4"/>
    <w:rsid w:val="00B75F2B"/>
    <w:rsid w:val="00B803CE"/>
    <w:rsid w:val="00B82AAA"/>
    <w:rsid w:val="00B836E5"/>
    <w:rsid w:val="00B83AC1"/>
    <w:rsid w:val="00B84BF0"/>
    <w:rsid w:val="00B84E1A"/>
    <w:rsid w:val="00B86002"/>
    <w:rsid w:val="00B900B0"/>
    <w:rsid w:val="00B90442"/>
    <w:rsid w:val="00B9260C"/>
    <w:rsid w:val="00B96DF5"/>
    <w:rsid w:val="00BA0EB3"/>
    <w:rsid w:val="00BA196C"/>
    <w:rsid w:val="00BA1972"/>
    <w:rsid w:val="00BA1C21"/>
    <w:rsid w:val="00BA2773"/>
    <w:rsid w:val="00BA2B28"/>
    <w:rsid w:val="00BA3374"/>
    <w:rsid w:val="00BA3D83"/>
    <w:rsid w:val="00BA4DBA"/>
    <w:rsid w:val="00BA4EA6"/>
    <w:rsid w:val="00BA5A4F"/>
    <w:rsid w:val="00BA63B6"/>
    <w:rsid w:val="00BB05A3"/>
    <w:rsid w:val="00BB0E04"/>
    <w:rsid w:val="00BB1505"/>
    <w:rsid w:val="00BB526E"/>
    <w:rsid w:val="00BB780A"/>
    <w:rsid w:val="00BB79CB"/>
    <w:rsid w:val="00BB7B95"/>
    <w:rsid w:val="00BC21F6"/>
    <w:rsid w:val="00BC3430"/>
    <w:rsid w:val="00BC3C70"/>
    <w:rsid w:val="00BC4738"/>
    <w:rsid w:val="00BC5D4E"/>
    <w:rsid w:val="00BC6BCE"/>
    <w:rsid w:val="00BC77A5"/>
    <w:rsid w:val="00BC77BB"/>
    <w:rsid w:val="00BD02B9"/>
    <w:rsid w:val="00BD0931"/>
    <w:rsid w:val="00BD1E79"/>
    <w:rsid w:val="00BD234B"/>
    <w:rsid w:val="00BD26FC"/>
    <w:rsid w:val="00BD368F"/>
    <w:rsid w:val="00BD3C14"/>
    <w:rsid w:val="00BD5CC2"/>
    <w:rsid w:val="00BD6C89"/>
    <w:rsid w:val="00BE155E"/>
    <w:rsid w:val="00BE16A9"/>
    <w:rsid w:val="00BE1AB2"/>
    <w:rsid w:val="00BE1E67"/>
    <w:rsid w:val="00BE2473"/>
    <w:rsid w:val="00BE2500"/>
    <w:rsid w:val="00BE256A"/>
    <w:rsid w:val="00BE380F"/>
    <w:rsid w:val="00BE49D1"/>
    <w:rsid w:val="00BE6569"/>
    <w:rsid w:val="00BE67B8"/>
    <w:rsid w:val="00BE7F70"/>
    <w:rsid w:val="00BF12F4"/>
    <w:rsid w:val="00BF1D5B"/>
    <w:rsid w:val="00BF2907"/>
    <w:rsid w:val="00BF2A6E"/>
    <w:rsid w:val="00BF4584"/>
    <w:rsid w:val="00BF4996"/>
    <w:rsid w:val="00BF5980"/>
    <w:rsid w:val="00BF6DC5"/>
    <w:rsid w:val="00C0052A"/>
    <w:rsid w:val="00C01848"/>
    <w:rsid w:val="00C020E9"/>
    <w:rsid w:val="00C03211"/>
    <w:rsid w:val="00C038E7"/>
    <w:rsid w:val="00C03944"/>
    <w:rsid w:val="00C03972"/>
    <w:rsid w:val="00C04CA9"/>
    <w:rsid w:val="00C0666C"/>
    <w:rsid w:val="00C0769A"/>
    <w:rsid w:val="00C10CC9"/>
    <w:rsid w:val="00C11C72"/>
    <w:rsid w:val="00C120C2"/>
    <w:rsid w:val="00C1266E"/>
    <w:rsid w:val="00C1276A"/>
    <w:rsid w:val="00C12EA0"/>
    <w:rsid w:val="00C150C8"/>
    <w:rsid w:val="00C1520F"/>
    <w:rsid w:val="00C159B2"/>
    <w:rsid w:val="00C16C59"/>
    <w:rsid w:val="00C21377"/>
    <w:rsid w:val="00C2197F"/>
    <w:rsid w:val="00C21C5F"/>
    <w:rsid w:val="00C2445B"/>
    <w:rsid w:val="00C25BB2"/>
    <w:rsid w:val="00C25E97"/>
    <w:rsid w:val="00C2619E"/>
    <w:rsid w:val="00C26997"/>
    <w:rsid w:val="00C301C9"/>
    <w:rsid w:val="00C31328"/>
    <w:rsid w:val="00C319A4"/>
    <w:rsid w:val="00C3211E"/>
    <w:rsid w:val="00C32326"/>
    <w:rsid w:val="00C3315D"/>
    <w:rsid w:val="00C34703"/>
    <w:rsid w:val="00C350A6"/>
    <w:rsid w:val="00C35B73"/>
    <w:rsid w:val="00C35D81"/>
    <w:rsid w:val="00C376B5"/>
    <w:rsid w:val="00C40227"/>
    <w:rsid w:val="00C433F8"/>
    <w:rsid w:val="00C4467D"/>
    <w:rsid w:val="00C463DB"/>
    <w:rsid w:val="00C47F31"/>
    <w:rsid w:val="00C50671"/>
    <w:rsid w:val="00C50694"/>
    <w:rsid w:val="00C50BEF"/>
    <w:rsid w:val="00C51F40"/>
    <w:rsid w:val="00C534D3"/>
    <w:rsid w:val="00C542E5"/>
    <w:rsid w:val="00C5526A"/>
    <w:rsid w:val="00C557F6"/>
    <w:rsid w:val="00C55829"/>
    <w:rsid w:val="00C57D99"/>
    <w:rsid w:val="00C6031C"/>
    <w:rsid w:val="00C60A5F"/>
    <w:rsid w:val="00C613A6"/>
    <w:rsid w:val="00C625E4"/>
    <w:rsid w:val="00C647DA"/>
    <w:rsid w:val="00C64CE1"/>
    <w:rsid w:val="00C65289"/>
    <w:rsid w:val="00C66670"/>
    <w:rsid w:val="00C67063"/>
    <w:rsid w:val="00C675F7"/>
    <w:rsid w:val="00C710EE"/>
    <w:rsid w:val="00C725C7"/>
    <w:rsid w:val="00C725F7"/>
    <w:rsid w:val="00C731EA"/>
    <w:rsid w:val="00C7342C"/>
    <w:rsid w:val="00C73D89"/>
    <w:rsid w:val="00C74336"/>
    <w:rsid w:val="00C74E23"/>
    <w:rsid w:val="00C75646"/>
    <w:rsid w:val="00C801D7"/>
    <w:rsid w:val="00C80781"/>
    <w:rsid w:val="00C80B12"/>
    <w:rsid w:val="00C80C7B"/>
    <w:rsid w:val="00C80F58"/>
    <w:rsid w:val="00C84EBF"/>
    <w:rsid w:val="00C85B1D"/>
    <w:rsid w:val="00C862AA"/>
    <w:rsid w:val="00C868EA"/>
    <w:rsid w:val="00C86BF0"/>
    <w:rsid w:val="00C87EEE"/>
    <w:rsid w:val="00C9086A"/>
    <w:rsid w:val="00C9146C"/>
    <w:rsid w:val="00C9280F"/>
    <w:rsid w:val="00C93E40"/>
    <w:rsid w:val="00C94576"/>
    <w:rsid w:val="00C96761"/>
    <w:rsid w:val="00C96EF5"/>
    <w:rsid w:val="00C97717"/>
    <w:rsid w:val="00CA01D8"/>
    <w:rsid w:val="00CA2708"/>
    <w:rsid w:val="00CA6829"/>
    <w:rsid w:val="00CA785C"/>
    <w:rsid w:val="00CB1135"/>
    <w:rsid w:val="00CB1D4D"/>
    <w:rsid w:val="00CB1F3D"/>
    <w:rsid w:val="00CB58D9"/>
    <w:rsid w:val="00CB5BB4"/>
    <w:rsid w:val="00CB7491"/>
    <w:rsid w:val="00CC0928"/>
    <w:rsid w:val="00CC4073"/>
    <w:rsid w:val="00CC4100"/>
    <w:rsid w:val="00CC4C1F"/>
    <w:rsid w:val="00CC6463"/>
    <w:rsid w:val="00CC6A48"/>
    <w:rsid w:val="00CC6D46"/>
    <w:rsid w:val="00CC6F52"/>
    <w:rsid w:val="00CC74CD"/>
    <w:rsid w:val="00CD1308"/>
    <w:rsid w:val="00CD19EC"/>
    <w:rsid w:val="00CD2DF8"/>
    <w:rsid w:val="00CD3195"/>
    <w:rsid w:val="00CD31D3"/>
    <w:rsid w:val="00CD4798"/>
    <w:rsid w:val="00CD4C5B"/>
    <w:rsid w:val="00CE0595"/>
    <w:rsid w:val="00CE5313"/>
    <w:rsid w:val="00CE63EE"/>
    <w:rsid w:val="00CE69C1"/>
    <w:rsid w:val="00CE69E5"/>
    <w:rsid w:val="00CE70A1"/>
    <w:rsid w:val="00CE70D7"/>
    <w:rsid w:val="00CE7F60"/>
    <w:rsid w:val="00CF15C1"/>
    <w:rsid w:val="00CF47E6"/>
    <w:rsid w:val="00CF4B97"/>
    <w:rsid w:val="00CF6559"/>
    <w:rsid w:val="00CF703D"/>
    <w:rsid w:val="00D00CBC"/>
    <w:rsid w:val="00D00E21"/>
    <w:rsid w:val="00D01147"/>
    <w:rsid w:val="00D0147C"/>
    <w:rsid w:val="00D01800"/>
    <w:rsid w:val="00D028B5"/>
    <w:rsid w:val="00D02A70"/>
    <w:rsid w:val="00D02B03"/>
    <w:rsid w:val="00D04328"/>
    <w:rsid w:val="00D04858"/>
    <w:rsid w:val="00D04C26"/>
    <w:rsid w:val="00D06886"/>
    <w:rsid w:val="00D07853"/>
    <w:rsid w:val="00D07C10"/>
    <w:rsid w:val="00D07E4B"/>
    <w:rsid w:val="00D102E2"/>
    <w:rsid w:val="00D1086B"/>
    <w:rsid w:val="00D1187D"/>
    <w:rsid w:val="00D15EBE"/>
    <w:rsid w:val="00D165DB"/>
    <w:rsid w:val="00D166D2"/>
    <w:rsid w:val="00D16B84"/>
    <w:rsid w:val="00D207B0"/>
    <w:rsid w:val="00D21FC2"/>
    <w:rsid w:val="00D252C1"/>
    <w:rsid w:val="00D25537"/>
    <w:rsid w:val="00D2579F"/>
    <w:rsid w:val="00D259CC"/>
    <w:rsid w:val="00D25F2D"/>
    <w:rsid w:val="00D2656D"/>
    <w:rsid w:val="00D267C3"/>
    <w:rsid w:val="00D26BE3"/>
    <w:rsid w:val="00D304FB"/>
    <w:rsid w:val="00D31B94"/>
    <w:rsid w:val="00D321AD"/>
    <w:rsid w:val="00D340FD"/>
    <w:rsid w:val="00D353AB"/>
    <w:rsid w:val="00D35B42"/>
    <w:rsid w:val="00D3645C"/>
    <w:rsid w:val="00D36544"/>
    <w:rsid w:val="00D37426"/>
    <w:rsid w:val="00D37A51"/>
    <w:rsid w:val="00D400D7"/>
    <w:rsid w:val="00D40EE0"/>
    <w:rsid w:val="00D419B2"/>
    <w:rsid w:val="00D42B47"/>
    <w:rsid w:val="00D42D18"/>
    <w:rsid w:val="00D43F81"/>
    <w:rsid w:val="00D44E2C"/>
    <w:rsid w:val="00D45C2F"/>
    <w:rsid w:val="00D45EE8"/>
    <w:rsid w:val="00D466D5"/>
    <w:rsid w:val="00D50E5E"/>
    <w:rsid w:val="00D533F4"/>
    <w:rsid w:val="00D54132"/>
    <w:rsid w:val="00D5451B"/>
    <w:rsid w:val="00D54E0F"/>
    <w:rsid w:val="00D555FF"/>
    <w:rsid w:val="00D56207"/>
    <w:rsid w:val="00D5768B"/>
    <w:rsid w:val="00D577EF"/>
    <w:rsid w:val="00D60D27"/>
    <w:rsid w:val="00D614D3"/>
    <w:rsid w:val="00D61CF4"/>
    <w:rsid w:val="00D629C1"/>
    <w:rsid w:val="00D64B9F"/>
    <w:rsid w:val="00D65E87"/>
    <w:rsid w:val="00D66B82"/>
    <w:rsid w:val="00D67DEB"/>
    <w:rsid w:val="00D708A6"/>
    <w:rsid w:val="00D70BA3"/>
    <w:rsid w:val="00D712D6"/>
    <w:rsid w:val="00D7153E"/>
    <w:rsid w:val="00D71E1F"/>
    <w:rsid w:val="00D73046"/>
    <w:rsid w:val="00D74402"/>
    <w:rsid w:val="00D750D3"/>
    <w:rsid w:val="00D7553F"/>
    <w:rsid w:val="00D76A85"/>
    <w:rsid w:val="00D80495"/>
    <w:rsid w:val="00D80690"/>
    <w:rsid w:val="00D816CB"/>
    <w:rsid w:val="00D81F13"/>
    <w:rsid w:val="00D820C7"/>
    <w:rsid w:val="00D83891"/>
    <w:rsid w:val="00D85928"/>
    <w:rsid w:val="00D86036"/>
    <w:rsid w:val="00D874F0"/>
    <w:rsid w:val="00D87CB6"/>
    <w:rsid w:val="00D90054"/>
    <w:rsid w:val="00D9036F"/>
    <w:rsid w:val="00D90EDC"/>
    <w:rsid w:val="00D926F6"/>
    <w:rsid w:val="00D9509C"/>
    <w:rsid w:val="00D96CE9"/>
    <w:rsid w:val="00DA0036"/>
    <w:rsid w:val="00DA0158"/>
    <w:rsid w:val="00DA0B2C"/>
    <w:rsid w:val="00DA1EF5"/>
    <w:rsid w:val="00DA2444"/>
    <w:rsid w:val="00DA4A5D"/>
    <w:rsid w:val="00DA6860"/>
    <w:rsid w:val="00DA6987"/>
    <w:rsid w:val="00DA7EC7"/>
    <w:rsid w:val="00DB113A"/>
    <w:rsid w:val="00DB1317"/>
    <w:rsid w:val="00DB14A4"/>
    <w:rsid w:val="00DB3151"/>
    <w:rsid w:val="00DB41B7"/>
    <w:rsid w:val="00DB4D51"/>
    <w:rsid w:val="00DB57F3"/>
    <w:rsid w:val="00DC041C"/>
    <w:rsid w:val="00DC0DEE"/>
    <w:rsid w:val="00DC122D"/>
    <w:rsid w:val="00DC1A80"/>
    <w:rsid w:val="00DC1E18"/>
    <w:rsid w:val="00DC2CCD"/>
    <w:rsid w:val="00DC3C47"/>
    <w:rsid w:val="00DC4193"/>
    <w:rsid w:val="00DC5840"/>
    <w:rsid w:val="00DC71E7"/>
    <w:rsid w:val="00DC7A65"/>
    <w:rsid w:val="00DC7F14"/>
    <w:rsid w:val="00DD3660"/>
    <w:rsid w:val="00DD484A"/>
    <w:rsid w:val="00DD4BFF"/>
    <w:rsid w:val="00DD6765"/>
    <w:rsid w:val="00DD68EC"/>
    <w:rsid w:val="00DD6BF5"/>
    <w:rsid w:val="00DD6EC5"/>
    <w:rsid w:val="00DE0202"/>
    <w:rsid w:val="00DE06D9"/>
    <w:rsid w:val="00DE1A72"/>
    <w:rsid w:val="00DE2427"/>
    <w:rsid w:val="00DE2A9C"/>
    <w:rsid w:val="00DE53B6"/>
    <w:rsid w:val="00DE6395"/>
    <w:rsid w:val="00DE6447"/>
    <w:rsid w:val="00DE666E"/>
    <w:rsid w:val="00DE6B9E"/>
    <w:rsid w:val="00DE6E90"/>
    <w:rsid w:val="00DE734D"/>
    <w:rsid w:val="00DF12AD"/>
    <w:rsid w:val="00DF12CF"/>
    <w:rsid w:val="00DF2FB8"/>
    <w:rsid w:val="00DF3936"/>
    <w:rsid w:val="00DF434A"/>
    <w:rsid w:val="00DF4ED1"/>
    <w:rsid w:val="00DF5089"/>
    <w:rsid w:val="00DF55B9"/>
    <w:rsid w:val="00DF58F2"/>
    <w:rsid w:val="00DF60BE"/>
    <w:rsid w:val="00DF635D"/>
    <w:rsid w:val="00DF7CA5"/>
    <w:rsid w:val="00E00435"/>
    <w:rsid w:val="00E01B0A"/>
    <w:rsid w:val="00E023FD"/>
    <w:rsid w:val="00E031FE"/>
    <w:rsid w:val="00E0571B"/>
    <w:rsid w:val="00E062D1"/>
    <w:rsid w:val="00E069CB"/>
    <w:rsid w:val="00E06C35"/>
    <w:rsid w:val="00E11A50"/>
    <w:rsid w:val="00E13B01"/>
    <w:rsid w:val="00E14D37"/>
    <w:rsid w:val="00E1607F"/>
    <w:rsid w:val="00E16912"/>
    <w:rsid w:val="00E16BE9"/>
    <w:rsid w:val="00E17076"/>
    <w:rsid w:val="00E200EB"/>
    <w:rsid w:val="00E225D0"/>
    <w:rsid w:val="00E22743"/>
    <w:rsid w:val="00E237A7"/>
    <w:rsid w:val="00E25BFB"/>
    <w:rsid w:val="00E25D87"/>
    <w:rsid w:val="00E26406"/>
    <w:rsid w:val="00E26C88"/>
    <w:rsid w:val="00E278D8"/>
    <w:rsid w:val="00E30B13"/>
    <w:rsid w:val="00E30DDB"/>
    <w:rsid w:val="00E32BF3"/>
    <w:rsid w:val="00E33FE5"/>
    <w:rsid w:val="00E347FD"/>
    <w:rsid w:val="00E358C7"/>
    <w:rsid w:val="00E36013"/>
    <w:rsid w:val="00E37D0D"/>
    <w:rsid w:val="00E42E91"/>
    <w:rsid w:val="00E433C4"/>
    <w:rsid w:val="00E44885"/>
    <w:rsid w:val="00E4518C"/>
    <w:rsid w:val="00E453D1"/>
    <w:rsid w:val="00E455F4"/>
    <w:rsid w:val="00E45E50"/>
    <w:rsid w:val="00E466A1"/>
    <w:rsid w:val="00E47E40"/>
    <w:rsid w:val="00E50976"/>
    <w:rsid w:val="00E51515"/>
    <w:rsid w:val="00E528AC"/>
    <w:rsid w:val="00E52BDD"/>
    <w:rsid w:val="00E5347C"/>
    <w:rsid w:val="00E53528"/>
    <w:rsid w:val="00E5525E"/>
    <w:rsid w:val="00E556C9"/>
    <w:rsid w:val="00E559AC"/>
    <w:rsid w:val="00E562B5"/>
    <w:rsid w:val="00E57DDD"/>
    <w:rsid w:val="00E61644"/>
    <w:rsid w:val="00E62AEF"/>
    <w:rsid w:val="00E639C8"/>
    <w:rsid w:val="00E64405"/>
    <w:rsid w:val="00E644E6"/>
    <w:rsid w:val="00E64B3A"/>
    <w:rsid w:val="00E65556"/>
    <w:rsid w:val="00E65900"/>
    <w:rsid w:val="00E66A4B"/>
    <w:rsid w:val="00E67AEE"/>
    <w:rsid w:val="00E70BFC"/>
    <w:rsid w:val="00E72E06"/>
    <w:rsid w:val="00E73030"/>
    <w:rsid w:val="00E73329"/>
    <w:rsid w:val="00E7376C"/>
    <w:rsid w:val="00E73F9B"/>
    <w:rsid w:val="00E7436F"/>
    <w:rsid w:val="00E746D2"/>
    <w:rsid w:val="00E75D2C"/>
    <w:rsid w:val="00E76FF1"/>
    <w:rsid w:val="00E80588"/>
    <w:rsid w:val="00E82A98"/>
    <w:rsid w:val="00E83120"/>
    <w:rsid w:val="00E83A6D"/>
    <w:rsid w:val="00E84183"/>
    <w:rsid w:val="00E84226"/>
    <w:rsid w:val="00E851BE"/>
    <w:rsid w:val="00E873FE"/>
    <w:rsid w:val="00E92482"/>
    <w:rsid w:val="00E955DE"/>
    <w:rsid w:val="00E96ABE"/>
    <w:rsid w:val="00EA0286"/>
    <w:rsid w:val="00EA3EEC"/>
    <w:rsid w:val="00EA42B4"/>
    <w:rsid w:val="00EA65A5"/>
    <w:rsid w:val="00EA6768"/>
    <w:rsid w:val="00EB3450"/>
    <w:rsid w:val="00EB495F"/>
    <w:rsid w:val="00EB5B58"/>
    <w:rsid w:val="00EB5FE8"/>
    <w:rsid w:val="00EC09BB"/>
    <w:rsid w:val="00EC3096"/>
    <w:rsid w:val="00EC37C5"/>
    <w:rsid w:val="00EC38CE"/>
    <w:rsid w:val="00EC5650"/>
    <w:rsid w:val="00EC5A74"/>
    <w:rsid w:val="00EC5CB6"/>
    <w:rsid w:val="00ED0538"/>
    <w:rsid w:val="00ED09E1"/>
    <w:rsid w:val="00ED315A"/>
    <w:rsid w:val="00ED3DFC"/>
    <w:rsid w:val="00ED3EB3"/>
    <w:rsid w:val="00ED4D6C"/>
    <w:rsid w:val="00ED60DB"/>
    <w:rsid w:val="00ED67E2"/>
    <w:rsid w:val="00ED7CDE"/>
    <w:rsid w:val="00ED7F1C"/>
    <w:rsid w:val="00EE05FA"/>
    <w:rsid w:val="00EE3106"/>
    <w:rsid w:val="00EE3A2A"/>
    <w:rsid w:val="00EE52AE"/>
    <w:rsid w:val="00EE5F72"/>
    <w:rsid w:val="00EE6172"/>
    <w:rsid w:val="00EE6438"/>
    <w:rsid w:val="00EE6B2F"/>
    <w:rsid w:val="00EE7021"/>
    <w:rsid w:val="00EF01EE"/>
    <w:rsid w:val="00EF15C6"/>
    <w:rsid w:val="00EF17C7"/>
    <w:rsid w:val="00EF1EC9"/>
    <w:rsid w:val="00EF3BCB"/>
    <w:rsid w:val="00EF6947"/>
    <w:rsid w:val="00EF6D0E"/>
    <w:rsid w:val="00EF7112"/>
    <w:rsid w:val="00EF74FE"/>
    <w:rsid w:val="00EF7BF9"/>
    <w:rsid w:val="00F0045B"/>
    <w:rsid w:val="00F040DC"/>
    <w:rsid w:val="00F0447A"/>
    <w:rsid w:val="00F04AE1"/>
    <w:rsid w:val="00F0508A"/>
    <w:rsid w:val="00F05410"/>
    <w:rsid w:val="00F054E8"/>
    <w:rsid w:val="00F05F5C"/>
    <w:rsid w:val="00F05FD9"/>
    <w:rsid w:val="00F06028"/>
    <w:rsid w:val="00F062ED"/>
    <w:rsid w:val="00F101A8"/>
    <w:rsid w:val="00F11F37"/>
    <w:rsid w:val="00F11FF8"/>
    <w:rsid w:val="00F121DC"/>
    <w:rsid w:val="00F12ABA"/>
    <w:rsid w:val="00F1308D"/>
    <w:rsid w:val="00F13F6D"/>
    <w:rsid w:val="00F16EA8"/>
    <w:rsid w:val="00F204F2"/>
    <w:rsid w:val="00F205EF"/>
    <w:rsid w:val="00F2098B"/>
    <w:rsid w:val="00F21AEF"/>
    <w:rsid w:val="00F21C79"/>
    <w:rsid w:val="00F22712"/>
    <w:rsid w:val="00F25089"/>
    <w:rsid w:val="00F25674"/>
    <w:rsid w:val="00F26997"/>
    <w:rsid w:val="00F26F23"/>
    <w:rsid w:val="00F274D2"/>
    <w:rsid w:val="00F30D34"/>
    <w:rsid w:val="00F3403F"/>
    <w:rsid w:val="00F34C54"/>
    <w:rsid w:val="00F36817"/>
    <w:rsid w:val="00F36A88"/>
    <w:rsid w:val="00F37CE7"/>
    <w:rsid w:val="00F41C32"/>
    <w:rsid w:val="00F43E9C"/>
    <w:rsid w:val="00F445DD"/>
    <w:rsid w:val="00F451B1"/>
    <w:rsid w:val="00F454D5"/>
    <w:rsid w:val="00F455B4"/>
    <w:rsid w:val="00F467D8"/>
    <w:rsid w:val="00F4681F"/>
    <w:rsid w:val="00F46CE8"/>
    <w:rsid w:val="00F471F7"/>
    <w:rsid w:val="00F51629"/>
    <w:rsid w:val="00F525F5"/>
    <w:rsid w:val="00F52752"/>
    <w:rsid w:val="00F52C39"/>
    <w:rsid w:val="00F52FCC"/>
    <w:rsid w:val="00F5331F"/>
    <w:rsid w:val="00F53DBC"/>
    <w:rsid w:val="00F55113"/>
    <w:rsid w:val="00F56222"/>
    <w:rsid w:val="00F60533"/>
    <w:rsid w:val="00F62B77"/>
    <w:rsid w:val="00F631E7"/>
    <w:rsid w:val="00F66127"/>
    <w:rsid w:val="00F667D7"/>
    <w:rsid w:val="00F66A2D"/>
    <w:rsid w:val="00F66FE3"/>
    <w:rsid w:val="00F67177"/>
    <w:rsid w:val="00F715B3"/>
    <w:rsid w:val="00F7230A"/>
    <w:rsid w:val="00F73E3B"/>
    <w:rsid w:val="00F76728"/>
    <w:rsid w:val="00F7697C"/>
    <w:rsid w:val="00F77865"/>
    <w:rsid w:val="00F77E6D"/>
    <w:rsid w:val="00F80F1E"/>
    <w:rsid w:val="00F80F7E"/>
    <w:rsid w:val="00F8192D"/>
    <w:rsid w:val="00F81E26"/>
    <w:rsid w:val="00F82518"/>
    <w:rsid w:val="00F83539"/>
    <w:rsid w:val="00F84204"/>
    <w:rsid w:val="00F860CC"/>
    <w:rsid w:val="00F86588"/>
    <w:rsid w:val="00F86E13"/>
    <w:rsid w:val="00F87249"/>
    <w:rsid w:val="00F87909"/>
    <w:rsid w:val="00F900E1"/>
    <w:rsid w:val="00F91F2D"/>
    <w:rsid w:val="00F922D8"/>
    <w:rsid w:val="00F9511D"/>
    <w:rsid w:val="00F9563C"/>
    <w:rsid w:val="00F96AB1"/>
    <w:rsid w:val="00F96C97"/>
    <w:rsid w:val="00F974F6"/>
    <w:rsid w:val="00F97F00"/>
    <w:rsid w:val="00FA1CCD"/>
    <w:rsid w:val="00FA3934"/>
    <w:rsid w:val="00FB0987"/>
    <w:rsid w:val="00FB1DBC"/>
    <w:rsid w:val="00FB2271"/>
    <w:rsid w:val="00FB3697"/>
    <w:rsid w:val="00FB389A"/>
    <w:rsid w:val="00FB67D1"/>
    <w:rsid w:val="00FB6BB5"/>
    <w:rsid w:val="00FB7EA6"/>
    <w:rsid w:val="00FB7F71"/>
    <w:rsid w:val="00FC033F"/>
    <w:rsid w:val="00FC04AB"/>
    <w:rsid w:val="00FC0589"/>
    <w:rsid w:val="00FC10FC"/>
    <w:rsid w:val="00FC1ADF"/>
    <w:rsid w:val="00FC2231"/>
    <w:rsid w:val="00FC2306"/>
    <w:rsid w:val="00FC2F64"/>
    <w:rsid w:val="00FC301B"/>
    <w:rsid w:val="00FC3ABA"/>
    <w:rsid w:val="00FC4056"/>
    <w:rsid w:val="00FC45F8"/>
    <w:rsid w:val="00FC545C"/>
    <w:rsid w:val="00FC6BD4"/>
    <w:rsid w:val="00FC6EE9"/>
    <w:rsid w:val="00FD0578"/>
    <w:rsid w:val="00FD099F"/>
    <w:rsid w:val="00FD0CA2"/>
    <w:rsid w:val="00FD0CAF"/>
    <w:rsid w:val="00FD271A"/>
    <w:rsid w:val="00FD3581"/>
    <w:rsid w:val="00FD4626"/>
    <w:rsid w:val="00FD566C"/>
    <w:rsid w:val="00FD5710"/>
    <w:rsid w:val="00FD58DA"/>
    <w:rsid w:val="00FD7AEB"/>
    <w:rsid w:val="00FD7AF0"/>
    <w:rsid w:val="00FE08EB"/>
    <w:rsid w:val="00FE0BE6"/>
    <w:rsid w:val="00FE1117"/>
    <w:rsid w:val="00FE20CE"/>
    <w:rsid w:val="00FE2682"/>
    <w:rsid w:val="00FE3CBF"/>
    <w:rsid w:val="00FE4EA7"/>
    <w:rsid w:val="00FE5D86"/>
    <w:rsid w:val="00FE6349"/>
    <w:rsid w:val="00FE6412"/>
    <w:rsid w:val="00FE653B"/>
    <w:rsid w:val="00FE6AA8"/>
    <w:rsid w:val="00FF05CB"/>
    <w:rsid w:val="00FF0782"/>
    <w:rsid w:val="00FF1B10"/>
    <w:rsid w:val="00FF2D44"/>
    <w:rsid w:val="00FF30E6"/>
    <w:rsid w:val="00FF31CC"/>
    <w:rsid w:val="00FF3BA8"/>
    <w:rsid w:val="00FF4E2F"/>
    <w:rsid w:val="00FF5193"/>
    <w:rsid w:val="00FF6F4A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4FA6"/>
    <w:rPr>
      <w:sz w:val="24"/>
    </w:rPr>
  </w:style>
  <w:style w:type="paragraph" w:styleId="3">
    <w:name w:val="Body Text 3"/>
    <w:basedOn w:val="a"/>
    <w:rsid w:val="00994FA6"/>
    <w:pPr>
      <w:jc w:val="center"/>
    </w:pPr>
    <w:rPr>
      <w:b/>
      <w:sz w:val="28"/>
    </w:rPr>
  </w:style>
  <w:style w:type="table" w:styleId="a4">
    <w:name w:val="Table Grid"/>
    <w:basedOn w:val="a1"/>
    <w:rsid w:val="003D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56A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6ABA"/>
  </w:style>
  <w:style w:type="paragraph" w:styleId="a7">
    <w:name w:val="header"/>
    <w:basedOn w:val="a"/>
    <w:rsid w:val="00856AB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262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26230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62B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62B77"/>
  </w:style>
  <w:style w:type="table" w:customStyle="1" w:styleId="1">
    <w:name w:val="Сетка таблицы1"/>
    <w:basedOn w:val="a1"/>
    <w:next w:val="a4"/>
    <w:rsid w:val="00F62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08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54D5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A54EE4"/>
  </w:style>
  <w:style w:type="table" w:customStyle="1" w:styleId="30">
    <w:name w:val="Сетка таблицы3"/>
    <w:basedOn w:val="a1"/>
    <w:next w:val="a4"/>
    <w:rsid w:val="00A5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FE3CBF"/>
    <w:rPr>
      <w:b/>
      <w:bCs/>
    </w:rPr>
  </w:style>
  <w:style w:type="paragraph" w:styleId="ae">
    <w:name w:val="No Spacing"/>
    <w:uiPriority w:val="1"/>
    <w:qFormat/>
    <w:rsid w:val="00FE3CBF"/>
  </w:style>
  <w:style w:type="numbering" w:customStyle="1" w:styleId="20">
    <w:name w:val="Нет списка2"/>
    <w:next w:val="a2"/>
    <w:uiPriority w:val="99"/>
    <w:semiHidden/>
    <w:unhideWhenUsed/>
    <w:rsid w:val="00823F25"/>
  </w:style>
  <w:style w:type="table" w:customStyle="1" w:styleId="4">
    <w:name w:val="Сетка таблицы4"/>
    <w:basedOn w:val="a1"/>
    <w:next w:val="a4"/>
    <w:rsid w:val="0082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906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rsid w:val="00AD6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4FA6"/>
    <w:rPr>
      <w:sz w:val="24"/>
    </w:rPr>
  </w:style>
  <w:style w:type="paragraph" w:styleId="3">
    <w:name w:val="Body Text 3"/>
    <w:basedOn w:val="a"/>
    <w:rsid w:val="00994FA6"/>
    <w:pPr>
      <w:jc w:val="center"/>
    </w:pPr>
    <w:rPr>
      <w:b/>
      <w:sz w:val="28"/>
    </w:rPr>
  </w:style>
  <w:style w:type="table" w:styleId="a4">
    <w:name w:val="Table Grid"/>
    <w:basedOn w:val="a1"/>
    <w:rsid w:val="003D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56A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6ABA"/>
  </w:style>
  <w:style w:type="paragraph" w:styleId="a7">
    <w:name w:val="header"/>
    <w:basedOn w:val="a"/>
    <w:rsid w:val="00856AB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262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26230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62B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62B77"/>
  </w:style>
  <w:style w:type="table" w:customStyle="1" w:styleId="1">
    <w:name w:val="Сетка таблицы1"/>
    <w:basedOn w:val="a1"/>
    <w:next w:val="a4"/>
    <w:rsid w:val="00F62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08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54D5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A54EE4"/>
  </w:style>
  <w:style w:type="table" w:customStyle="1" w:styleId="30">
    <w:name w:val="Сетка таблицы3"/>
    <w:basedOn w:val="a1"/>
    <w:next w:val="a4"/>
    <w:rsid w:val="00A5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FE3CBF"/>
    <w:rPr>
      <w:b/>
      <w:bCs/>
    </w:rPr>
  </w:style>
  <w:style w:type="paragraph" w:styleId="ae">
    <w:name w:val="No Spacing"/>
    <w:uiPriority w:val="1"/>
    <w:qFormat/>
    <w:rsid w:val="00FE3CBF"/>
  </w:style>
  <w:style w:type="numbering" w:customStyle="1" w:styleId="20">
    <w:name w:val="Нет списка2"/>
    <w:next w:val="a2"/>
    <w:uiPriority w:val="99"/>
    <w:semiHidden/>
    <w:unhideWhenUsed/>
    <w:rsid w:val="00823F25"/>
  </w:style>
  <w:style w:type="table" w:customStyle="1" w:styleId="4">
    <w:name w:val="Сетка таблицы4"/>
    <w:basedOn w:val="a1"/>
    <w:next w:val="a4"/>
    <w:rsid w:val="0082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906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rsid w:val="00AD6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698924731182794E-2"/>
          <c:y val="8.2669258392910089E-2"/>
          <c:w val="0.90392498518330366"/>
          <c:h val="0.7102431243713583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8192771084337331E-2"/>
                  <c:y val="-3.0165912518853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308089500860588E-2"/>
                  <c:y val="4.5248868778280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308089500860588E-2"/>
                  <c:y val="4.826546003016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538726333907058E-2"/>
                  <c:y val="4.5248868778280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308089500860588E-2"/>
                  <c:y val="4.5248868778280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9013195639701667E-2"/>
                  <c:y val="5.4298642533936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128514056224987E-2"/>
                  <c:y val="5.4298642533936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833620195065979E-2"/>
                  <c:y val="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38726333907058E-2"/>
                  <c:y val="-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3.6199095022624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4967</c:v>
                </c:pt>
                <c:pt idx="1">
                  <c:v>4713</c:v>
                </c:pt>
                <c:pt idx="2">
                  <c:v>4507</c:v>
                </c:pt>
                <c:pt idx="3">
                  <c:v>4463</c:v>
                </c:pt>
                <c:pt idx="4">
                  <c:v>5035</c:v>
                </c:pt>
                <c:pt idx="5">
                  <c:v>4858</c:v>
                </c:pt>
                <c:pt idx="6">
                  <c:v>4957</c:v>
                </c:pt>
                <c:pt idx="7">
                  <c:v>4863</c:v>
                </c:pt>
                <c:pt idx="8">
                  <c:v>4824</c:v>
                </c:pt>
                <c:pt idx="9">
                  <c:v>4933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dLbl>
              <c:idx val="2"/>
              <c:layout>
                <c:manualLayout>
                  <c:x val="-4.1308089500860588E-2"/>
                  <c:y val="-5.7315233785822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487664945496273E-2"/>
                  <c:y val="-5.7315233785822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9667240390131958E-2"/>
                  <c:y val="-5.7315233785822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5731497418244406E-2"/>
                  <c:y val="-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8192771084337435E-2"/>
                  <c:y val="-4.8265460030165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4423407917383818E-2"/>
                  <c:y val="6.0331825037707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6.0331825037707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2">
                  <c:v>4561</c:v>
                </c:pt>
                <c:pt idx="3">
                  <c:v>5830</c:v>
                </c:pt>
                <c:pt idx="4">
                  <c:v>6134</c:v>
                </c:pt>
                <c:pt idx="5">
                  <c:v>7376</c:v>
                </c:pt>
                <c:pt idx="6">
                  <c:v>9386</c:v>
                </c:pt>
                <c:pt idx="7">
                  <c:v>6400</c:v>
                </c:pt>
                <c:pt idx="8">
                  <c:v>4635</c:v>
                </c:pt>
                <c:pt idx="9">
                  <c:v>4544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700736"/>
        <c:axId val="169562112"/>
      </c:lineChart>
      <c:catAx>
        <c:axId val="16770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562112"/>
        <c:crosses val="autoZero"/>
        <c:auto val="1"/>
        <c:lblAlgn val="ctr"/>
        <c:lblOffset val="100"/>
        <c:noMultiLvlLbl val="0"/>
      </c:catAx>
      <c:valAx>
        <c:axId val="169562112"/>
        <c:scaling>
          <c:orientation val="minMax"/>
          <c:min val="3000"/>
        </c:scaling>
        <c:delete val="0"/>
        <c:axPos val="l"/>
        <c:majorGridlines>
          <c:spPr>
            <a:ln>
              <a:solidFill>
                <a:srgbClr val="7030A0"/>
              </a:solidFill>
            </a:ln>
          </c:spPr>
        </c:majorGridlines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700736"/>
        <c:crosses val="autoZero"/>
        <c:crossBetween val="between"/>
        <c:majorUnit val="1000"/>
      </c:valAx>
    </c:plotArea>
    <c:legend>
      <c:legendPos val="r"/>
      <c:layout>
        <c:manualLayout>
          <c:xMode val="edge"/>
          <c:yMode val="edge"/>
          <c:x val="0.3860025930493628"/>
          <c:y val="0.82468470628988633"/>
          <c:w val="0.59308098535875775"/>
          <c:h val="0.17531522845358616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explosion val="3"/>
          <c:dLbls>
            <c:dLbl>
              <c:idx val="2"/>
              <c:layout>
                <c:manualLayout>
                  <c:x val="1.2110236220472439E-3"/>
                  <c:y val="2.6276357602416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0271216097987501E-4"/>
                  <c:y val="7.00531717829505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425546806649163E-2"/>
                  <c:y val="-2.9343936381709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0680664916885413E-2"/>
                  <c:y val="-2.6953241182824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9539020122484688E-2"/>
                  <c:y val="7.89634894047786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НДФЛ 53%</c:v>
                </c:pt>
                <c:pt idx="1">
                  <c:v>Земельный налог 23%</c:v>
                </c:pt>
                <c:pt idx="2">
                  <c:v>ЕНВД 4,3%</c:v>
                </c:pt>
                <c:pt idx="3">
                  <c:v>Акцизы 1,3%</c:v>
                </c:pt>
                <c:pt idx="4">
                  <c:v>Налог на имущество физических лиц 3,6%</c:v>
                </c:pt>
                <c:pt idx="5">
                  <c:v>Патент 1,0%</c:v>
                </c:pt>
                <c:pt idx="6">
                  <c:v>Госпошлина 2%</c:v>
                </c:pt>
                <c:pt idx="7">
                  <c:v>Аренда земли и муниципального имущества 7%</c:v>
                </c:pt>
                <c:pt idx="8">
                  <c:v>Доходы от продажи активов 2,4%</c:v>
                </c:pt>
                <c:pt idx="9">
                  <c:v>Плата за загрязнение окружающей среды 0,8%</c:v>
                </c:pt>
                <c:pt idx="10">
                  <c:v>Прочие  1,6%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0.53</c:v>
                </c:pt>
                <c:pt idx="1">
                  <c:v>0.23</c:v>
                </c:pt>
                <c:pt idx="2">
                  <c:v>4.2999999999999997E-2</c:v>
                </c:pt>
                <c:pt idx="3" formatCode="0%">
                  <c:v>1.2999999999999999E-2</c:v>
                </c:pt>
                <c:pt idx="4" formatCode="0%">
                  <c:v>3.5999999999999997E-2</c:v>
                </c:pt>
                <c:pt idx="5" formatCode="0%">
                  <c:v>0.01</c:v>
                </c:pt>
                <c:pt idx="6" formatCode="0%">
                  <c:v>0.02</c:v>
                </c:pt>
                <c:pt idx="7" formatCode="0%">
                  <c:v>7.0000000000000007E-2</c:v>
                </c:pt>
                <c:pt idx="8" formatCode="0%">
                  <c:v>2.4E-2</c:v>
                </c:pt>
                <c:pt idx="9" formatCode="0%">
                  <c:v>8.0000000000000002E-3</c:v>
                </c:pt>
                <c:pt idx="10" formatCode="0%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278361038203553"/>
          <c:y val="0"/>
          <c:w val="0.40721638961796441"/>
          <c:h val="1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402057501433004E-2"/>
          <c:y val="3.2057446825081583E-2"/>
          <c:w val="0.91454669728783899"/>
          <c:h val="0.8569567824793413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</c:v>
                </c:pt>
              </c:strCache>
            </c:strRef>
          </c:tx>
          <c:spPr>
            <a:ln w="25400" cap="flat">
              <a:solidFill>
                <a:schemeClr val="tx1"/>
              </a:solidFill>
            </a:ln>
          </c:spPr>
          <c:marker>
            <c:symbol val="diamond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Pt>
            <c:idx val="2"/>
            <c:bubble3D val="0"/>
            <c:spPr>
              <a:ln w="25400" cap="flat">
                <a:solidFill>
                  <a:schemeClr val="tx1"/>
                </a:solidFill>
                <a:bevel/>
              </a:ln>
            </c:spPr>
          </c:dPt>
          <c:dPt>
            <c:idx val="4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  <a:effectLst/>
              </c:spPr>
            </c:marker>
            <c:bubble3D val="0"/>
            <c:spPr>
              <a:ln w="25400" cap="flat">
                <a:solidFill>
                  <a:schemeClr val="tx1"/>
                </a:solidFill>
              </a:ln>
              <a:effectLst/>
            </c:spPr>
          </c:dPt>
          <c:dPt>
            <c:idx val="6"/>
            <c:marker>
              <c:spPr>
                <a:solidFill>
                  <a:schemeClr val="tx1"/>
                </a:solidFill>
                <a:ln w="6350" cap="rnd" cmpd="dbl">
                  <a:solidFill>
                    <a:schemeClr val="tx1"/>
                  </a:solidFill>
                  <a:miter lim="800000"/>
                </a:ln>
              </c:spPr>
            </c:marker>
            <c:bubble3D val="0"/>
          </c:dPt>
          <c:dLbls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8</a:t>
                    </a:r>
                    <a:r>
                      <a:rPr lang="en-US"/>
                      <a:t>,9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342293420219024E-2"/>
                  <c:y val="0.102868447082096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оценка</c:v>
                </c:pt>
                <c:pt idx="5">
                  <c:v>2020</c:v>
                </c:pt>
                <c:pt idx="6">
                  <c:v>2021 прогноз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320.5</c:v>
                </c:pt>
                <c:pt idx="1">
                  <c:v>314.89999999999998</c:v>
                </c:pt>
                <c:pt idx="2">
                  <c:v>278.2</c:v>
                </c:pt>
                <c:pt idx="3">
                  <c:v>258.3</c:v>
                </c:pt>
                <c:pt idx="4">
                  <c:v>240.3</c:v>
                </c:pt>
                <c:pt idx="5">
                  <c:v>208.3</c:v>
                </c:pt>
                <c:pt idx="6">
                  <c:v>52.1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300</c:v>
                </c:pt>
              </c:strCache>
            </c:strRef>
          </c:tx>
          <c:dLbls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оценка</c:v>
                </c:pt>
                <c:pt idx="5">
                  <c:v>2020</c:v>
                </c:pt>
                <c:pt idx="6">
                  <c:v>2021 прогноз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400</c:v>
                </c:pt>
              </c:strCache>
            </c:strRef>
          </c:tx>
          <c:dLbls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оценка</c:v>
                </c:pt>
                <c:pt idx="5">
                  <c:v>2020</c:v>
                </c:pt>
                <c:pt idx="6">
                  <c:v>2021 прогноз 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0008704"/>
        <c:axId val="210022784"/>
      </c:lineChart>
      <c:catAx>
        <c:axId val="21000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022784"/>
        <c:crosses val="autoZero"/>
        <c:auto val="1"/>
        <c:lblAlgn val="ctr"/>
        <c:lblOffset val="100"/>
        <c:noMultiLvlLbl val="0"/>
      </c:catAx>
      <c:valAx>
        <c:axId val="210022784"/>
        <c:scaling>
          <c:orientation val="minMax"/>
          <c:min val="0"/>
        </c:scaling>
        <c:delete val="0"/>
        <c:axPos val="l"/>
        <c:majorGridlines>
          <c:spPr>
            <a:effectLst>
              <a:glow rad="127000">
                <a:schemeClr val="tx2">
                  <a:lumMod val="40000"/>
                  <a:lumOff val="60000"/>
                </a:schemeClr>
              </a:glow>
            </a:effectLst>
          </c:spPr>
        </c:majorGridlines>
        <c:numFmt formatCode="General" sourceLinked="1"/>
        <c:majorTickMark val="out"/>
        <c:minorTickMark val="none"/>
        <c:tickLblPos val="nextTo"/>
        <c:crossAx val="210008704"/>
        <c:crosses val="autoZero"/>
        <c:crossBetween val="between"/>
        <c:majorUnit val="100"/>
      </c:valAx>
      <c:spPr>
        <a:solidFill>
          <a:schemeClr val="tx2">
            <a:lumMod val="20000"/>
            <a:lumOff val="80000"/>
          </a:schemeClr>
        </a:solidFill>
        <a:ln>
          <a:gradFill>
            <a:gsLst>
              <a:gs pos="51000">
                <a:schemeClr val="accent1">
                  <a:tint val="66000"/>
                  <a:satMod val="160000"/>
                </a:schemeClr>
              </a:gs>
              <a:gs pos="59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  <a:effectLst>
          <a:outerShdw blurRad="50800" dist="50800" dir="5400000" algn="ctr" rotWithShape="0">
            <a:schemeClr val="accent1">
              <a:lumMod val="20000"/>
              <a:lumOff val="80000"/>
            </a:schemeClr>
          </a:outerShdw>
        </a:effectLst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Структура расходов 2020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7140497851282398E-2"/>
          <c:w val="0.61520333881709766"/>
          <c:h val="0.901381103196758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2018 года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FF3399"/>
              </a:solidFill>
            </c:spPr>
          </c:dPt>
          <c:dPt>
            <c:idx val="2"/>
            <c:bubble3D val="0"/>
            <c:spPr>
              <a:solidFill>
                <a:srgbClr val="008000"/>
              </a:solidFill>
            </c:spPr>
          </c:dPt>
          <c:dPt>
            <c:idx val="4"/>
            <c:bubble3D val="0"/>
            <c:spPr>
              <a:solidFill>
                <a:schemeClr val="bg2">
                  <a:lumMod val="90000"/>
                </a:schemeClr>
              </a:solidFill>
            </c:spPr>
          </c:dPt>
          <c:dPt>
            <c:idx val="5"/>
            <c:bubble3D val="0"/>
            <c:spPr>
              <a:solidFill>
                <a:srgbClr val="FFFF00"/>
              </a:solidFill>
            </c:spPr>
          </c:dPt>
          <c:dPt>
            <c:idx val="6"/>
            <c:bubble3D val="0"/>
            <c:spPr>
              <a:solidFill>
                <a:schemeClr val="accent2"/>
              </a:solidFill>
            </c:spPr>
          </c:dPt>
          <c:dPt>
            <c:idx val="7"/>
            <c:bubble3D val="0"/>
            <c:spPr>
              <a:solidFill>
                <a:srgbClr val="FF0000"/>
              </a:solidFill>
            </c:spPr>
          </c:dPt>
          <c:dPt>
            <c:idx val="1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1.0546301904569622E-2"/>
                  <c:y val="2.8645652520272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280469748973686E-2"/>
                  <c:y val="1.2904664872162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631603741839961E-2"/>
                  <c:y val="6.36176867667899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6424435880729789E-2"/>
                  <c:y val="-5.8387719120104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6647318123696076E-2"/>
                  <c:y val="1.7256253511442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6243354196110098E-2"/>
                  <c:y val="1.564086438077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3643919510061242E-2"/>
                  <c:y val="-8.4241067310675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15630257756242E-2"/>
                  <c:y val="-4.1158377567021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8.3942560064607305E-2"/>
                  <c:y val="-1.9326641677777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 6,4%</c:v>
                </c:pt>
                <c:pt idx="1">
                  <c:v>Национальная безопасность и правоохранительная деятельность 0,8%</c:v>
                </c:pt>
                <c:pt idx="2">
                  <c:v>Национальная экономика 17,7%</c:v>
                </c:pt>
                <c:pt idx="3">
                  <c:v>Жилищно-коммунальное хозяйство 7,7%</c:v>
                </c:pt>
                <c:pt idx="4">
                  <c:v>Охрана окружающей среды 0,03%</c:v>
                </c:pt>
                <c:pt idx="5">
                  <c:v>Образование 54,5%</c:v>
                </c:pt>
                <c:pt idx="6">
                  <c:v>Культура, кинематография 3,7%</c:v>
                </c:pt>
                <c:pt idx="7">
                  <c:v>Социальная политика 4,5%</c:v>
                </c:pt>
                <c:pt idx="8">
                  <c:v>Физическая культура и спорт 3,0%</c:v>
                </c:pt>
                <c:pt idx="9">
                  <c:v>Средства массовой информации 0,2%</c:v>
                </c:pt>
                <c:pt idx="10">
                  <c:v>Обслуживание государственного и муниципального долга 1,6%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6.4000000000000001E-2</c:v>
                </c:pt>
                <c:pt idx="1">
                  <c:v>8.0000000000000002E-3</c:v>
                </c:pt>
                <c:pt idx="2">
                  <c:v>0.17699999999999999</c:v>
                </c:pt>
                <c:pt idx="3">
                  <c:v>7.6999999999999999E-2</c:v>
                </c:pt>
                <c:pt idx="4">
                  <c:v>2.9999999999999997E-4</c:v>
                </c:pt>
                <c:pt idx="5">
                  <c:v>0.54500000000000004</c:v>
                </c:pt>
                <c:pt idx="6">
                  <c:v>3.6999999999999998E-2</c:v>
                </c:pt>
                <c:pt idx="7">
                  <c:v>4.4999999999999998E-2</c:v>
                </c:pt>
                <c:pt idx="8">
                  <c:v>0.03</c:v>
                </c:pt>
                <c:pt idx="9">
                  <c:v>2E-3</c:v>
                </c:pt>
                <c:pt idx="10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109092132714174"/>
          <c:y val="7.1034410575978618E-2"/>
          <c:w val="0.33861001749781278"/>
          <c:h val="0.92896558942402141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144E-E78D-4934-9B58-A803DD91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11561</Words>
  <Characters>65901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СЧЕТНАЯ ПАЛАТА</cp:lastModifiedBy>
  <cp:revision>2</cp:revision>
  <cp:lastPrinted>2019-11-19T13:15:00Z</cp:lastPrinted>
  <dcterms:created xsi:type="dcterms:W3CDTF">2024-01-16T08:24:00Z</dcterms:created>
  <dcterms:modified xsi:type="dcterms:W3CDTF">2024-01-16T08:24:00Z</dcterms:modified>
</cp:coreProperties>
</file>