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A6" w:rsidRPr="00370C53" w:rsidRDefault="000D5166" w:rsidP="00994FA6">
      <w:pPr>
        <w:pStyle w:val="3"/>
        <w:outlineLvl w:val="0"/>
      </w:pPr>
      <w:r>
        <w:rPr>
          <w:noProof/>
        </w:rPr>
        <w:drawing>
          <wp:inline distT="0" distB="0" distL="0" distR="0">
            <wp:extent cx="7334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A6" w:rsidRPr="00370C53" w:rsidRDefault="00994FA6" w:rsidP="00994FA6">
      <w:pPr>
        <w:ind w:firstLine="708"/>
      </w:pP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СЧЕТНАЯ ПАЛАТА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ГОРОДА ЛИПЕЦКА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</w:p>
    <w:p w:rsidR="00994FA6" w:rsidRPr="00370C53" w:rsidRDefault="00075E24" w:rsidP="00994FA6">
      <w:pPr>
        <w:pStyle w:val="3"/>
        <w:jc w:val="lef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321564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498" y="21240"/>
                    <wp:lineTo x="2149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2"/>
                            </w:tblGrid>
                            <w:tr w:rsidR="00CE0595">
                              <w:tc>
                                <w:tcPr>
                                  <w:tcW w:w="4282" w:type="dxa"/>
                                </w:tcPr>
                                <w:p w:rsidR="00CE0595" w:rsidRDefault="00CE059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0595" w:rsidRDefault="00CE059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398001, г. Липецк, ул.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 22</w:t>
                                  </w:r>
                                </w:p>
                              </w:tc>
                            </w:tr>
                            <w:tr w:rsidR="00CE0595">
                              <w:trPr>
                                <w:trHeight w:val="530"/>
                              </w:trPr>
                              <w:tc>
                                <w:tcPr>
                                  <w:tcW w:w="4282" w:type="dxa"/>
                                </w:tcPr>
                                <w:p w:rsidR="00CE0595" w:rsidRDefault="00CE05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0595" w:rsidRDefault="00CE0595" w:rsidP="00CE059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 21.11.2018 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128-03-01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E0595">
                              <w:trPr>
                                <w:trHeight w:val="429"/>
                              </w:trPr>
                              <w:tc>
                                <w:tcPr>
                                  <w:tcW w:w="4282" w:type="dxa"/>
                                </w:tcPr>
                                <w:p w:rsidR="00CE0595" w:rsidRDefault="00CE059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 № 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01-12/19-2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384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 xml:space="preserve"> 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12.11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.201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</w:p>
                                <w:p w:rsidR="00CE0595" w:rsidRDefault="00CE059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0595" w:rsidRDefault="00CE059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0595" w:rsidRDefault="00CE059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0595" w:rsidRDefault="00CE0595" w:rsidP="00994FA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5.3pt;width:253.2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hvhAIAABA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82"/>
                      </w:tblGrid>
                      <w:tr w:rsidR="00CE0595">
                        <w:tc>
                          <w:tcPr>
                            <w:tcW w:w="4282" w:type="dxa"/>
                          </w:tcPr>
                          <w:p w:rsidR="00CE0595" w:rsidRDefault="00CE05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E0595" w:rsidRDefault="00CE0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398001, г. Липецк, ул.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Советская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 22</w:t>
                            </w:r>
                          </w:p>
                        </w:tc>
                      </w:tr>
                      <w:tr w:rsidR="00CE0595">
                        <w:trPr>
                          <w:trHeight w:val="530"/>
                        </w:trPr>
                        <w:tc>
                          <w:tcPr>
                            <w:tcW w:w="4282" w:type="dxa"/>
                          </w:tcPr>
                          <w:p w:rsidR="00CE0595" w:rsidRDefault="00CE0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0595" w:rsidRDefault="00CE0595" w:rsidP="00CE0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21.11.2018   </w:t>
                            </w:r>
                            <w:r>
                              <w:rPr>
                                <w:sz w:val="24"/>
                              </w:rPr>
                              <w:t xml:space="preserve">№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128-03-01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E0595">
                        <w:trPr>
                          <w:trHeight w:val="429"/>
                        </w:trPr>
                        <w:tc>
                          <w:tcPr>
                            <w:tcW w:w="4282" w:type="dxa"/>
                          </w:tcPr>
                          <w:p w:rsidR="00CE0595" w:rsidRDefault="00CE0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 № 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01-12/19-2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384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12.11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8</w:t>
                            </w:r>
                          </w:p>
                          <w:p w:rsidR="00CE0595" w:rsidRDefault="00CE059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E0595" w:rsidRDefault="00CE059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E0595" w:rsidRDefault="00CE0595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0595" w:rsidRDefault="00CE0595" w:rsidP="00994FA6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94FA6" w:rsidRPr="00370C53" w:rsidRDefault="00994FA6" w:rsidP="00994FA6">
      <w:pPr>
        <w:jc w:val="center"/>
        <w:rPr>
          <w:sz w:val="27"/>
          <w:szCs w:val="27"/>
        </w:rPr>
      </w:pPr>
    </w:p>
    <w:p w:rsidR="002430D3" w:rsidRDefault="00CE0595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Главе города Липецка</w:t>
      </w:r>
    </w:p>
    <w:p w:rsidR="00CE0595" w:rsidRPr="00370C53" w:rsidRDefault="00CE0595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С.В. Иванову</w:t>
      </w:r>
    </w:p>
    <w:p w:rsidR="00994FA6" w:rsidRPr="00370C53" w:rsidRDefault="00994FA6" w:rsidP="00994FA6">
      <w:pPr>
        <w:rPr>
          <w:b/>
          <w:sz w:val="28"/>
          <w:szCs w:val="28"/>
        </w:rPr>
      </w:pPr>
    </w:p>
    <w:p w:rsidR="00BA63B6" w:rsidRDefault="00BA63B6" w:rsidP="00BA63B6">
      <w:pPr>
        <w:rPr>
          <w:b/>
          <w:sz w:val="28"/>
          <w:szCs w:val="28"/>
        </w:rPr>
      </w:pPr>
    </w:p>
    <w:p w:rsidR="003A6D6B" w:rsidRPr="00370C53" w:rsidRDefault="003A6D6B" w:rsidP="00871544">
      <w:pPr>
        <w:rPr>
          <w:b/>
          <w:sz w:val="28"/>
          <w:szCs w:val="28"/>
        </w:rPr>
      </w:pPr>
    </w:p>
    <w:p w:rsidR="00440213" w:rsidRDefault="00440213" w:rsidP="00994FA6">
      <w:pPr>
        <w:jc w:val="center"/>
        <w:rPr>
          <w:b/>
          <w:sz w:val="28"/>
          <w:szCs w:val="28"/>
        </w:rPr>
      </w:pPr>
    </w:p>
    <w:p w:rsidR="00CE0595" w:rsidRDefault="00CE0595" w:rsidP="00994FA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ЗАКЛЮЧЕНИЕ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 xml:space="preserve">Счетной палаты города Липецка 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на проек</w:t>
      </w:r>
      <w:r w:rsidR="00CD4C5B" w:rsidRPr="0004585A">
        <w:rPr>
          <w:b/>
          <w:sz w:val="28"/>
          <w:szCs w:val="28"/>
        </w:rPr>
        <w:t>т б</w:t>
      </w:r>
      <w:r w:rsidR="00FF6F4A" w:rsidRPr="0004585A">
        <w:rPr>
          <w:b/>
          <w:sz w:val="28"/>
          <w:szCs w:val="28"/>
        </w:rPr>
        <w:t>юджета города Липецка на 201</w:t>
      </w:r>
      <w:r w:rsidR="0004585A" w:rsidRPr="0004585A">
        <w:rPr>
          <w:b/>
          <w:sz w:val="28"/>
          <w:szCs w:val="28"/>
        </w:rPr>
        <w:t>9</w:t>
      </w:r>
      <w:r w:rsidRPr="0004585A">
        <w:rPr>
          <w:b/>
          <w:sz w:val="28"/>
          <w:szCs w:val="28"/>
        </w:rPr>
        <w:t xml:space="preserve"> год </w:t>
      </w:r>
      <w:r w:rsidR="00E13B01" w:rsidRPr="0004585A">
        <w:rPr>
          <w:b/>
          <w:sz w:val="28"/>
          <w:szCs w:val="28"/>
        </w:rPr>
        <w:t xml:space="preserve">и на плановый период </w:t>
      </w:r>
      <w:r w:rsidR="0004585A" w:rsidRPr="0004585A">
        <w:rPr>
          <w:b/>
          <w:sz w:val="28"/>
          <w:szCs w:val="28"/>
        </w:rPr>
        <w:t>2020</w:t>
      </w:r>
      <w:r w:rsidR="00E13B01" w:rsidRPr="0004585A">
        <w:rPr>
          <w:b/>
          <w:sz w:val="28"/>
          <w:szCs w:val="28"/>
        </w:rPr>
        <w:t xml:space="preserve"> и 20</w:t>
      </w:r>
      <w:r w:rsidR="00BA63B6" w:rsidRPr="0004585A">
        <w:rPr>
          <w:b/>
          <w:sz w:val="28"/>
          <w:szCs w:val="28"/>
        </w:rPr>
        <w:t>2</w:t>
      </w:r>
      <w:r w:rsidR="0004585A" w:rsidRPr="0004585A">
        <w:rPr>
          <w:b/>
          <w:sz w:val="28"/>
          <w:szCs w:val="28"/>
        </w:rPr>
        <w:t>1</w:t>
      </w:r>
      <w:r w:rsidR="00E13B01" w:rsidRPr="0004585A">
        <w:rPr>
          <w:b/>
          <w:sz w:val="28"/>
          <w:szCs w:val="28"/>
        </w:rPr>
        <w:t xml:space="preserve"> год</w:t>
      </w:r>
      <w:r w:rsidR="00A8173C" w:rsidRPr="0004585A">
        <w:rPr>
          <w:b/>
          <w:sz w:val="28"/>
          <w:szCs w:val="28"/>
        </w:rPr>
        <w:t>ов</w:t>
      </w:r>
    </w:p>
    <w:p w:rsidR="00192428" w:rsidRPr="001B2615" w:rsidRDefault="00192428" w:rsidP="005278B8">
      <w:pPr>
        <w:rPr>
          <w:b/>
          <w:color w:val="FF0000"/>
          <w:sz w:val="28"/>
          <w:szCs w:val="28"/>
        </w:rPr>
      </w:pP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1. Общие положения</w:t>
      </w:r>
    </w:p>
    <w:p w:rsidR="0008632D" w:rsidRPr="0004585A" w:rsidRDefault="0008632D" w:rsidP="005278B8">
      <w:pPr>
        <w:rPr>
          <w:b/>
          <w:sz w:val="28"/>
          <w:szCs w:val="28"/>
        </w:rPr>
      </w:pPr>
    </w:p>
    <w:p w:rsidR="00994FA6" w:rsidRPr="0004585A" w:rsidRDefault="00994FA6" w:rsidP="00994FA6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  <w:t>Заключение Счетной п</w:t>
      </w:r>
      <w:r w:rsidR="00CD4C5B" w:rsidRPr="0004585A">
        <w:rPr>
          <w:sz w:val="28"/>
          <w:szCs w:val="28"/>
        </w:rPr>
        <w:t>алаты города Липецка на проект б</w:t>
      </w:r>
      <w:r w:rsidRPr="0004585A">
        <w:rPr>
          <w:sz w:val="28"/>
          <w:szCs w:val="28"/>
        </w:rPr>
        <w:t>юджета города Липецка на 201</w:t>
      </w:r>
      <w:r w:rsidR="0004585A" w:rsidRPr="0004585A">
        <w:rPr>
          <w:sz w:val="28"/>
          <w:szCs w:val="28"/>
        </w:rPr>
        <w:t>9</w:t>
      </w:r>
      <w:r w:rsidRPr="0004585A">
        <w:rPr>
          <w:sz w:val="28"/>
          <w:szCs w:val="28"/>
        </w:rPr>
        <w:t xml:space="preserve"> год</w:t>
      </w:r>
      <w:r w:rsidR="00A66CA8" w:rsidRPr="0004585A">
        <w:rPr>
          <w:sz w:val="28"/>
          <w:szCs w:val="28"/>
        </w:rPr>
        <w:t xml:space="preserve"> и на плановый период 20</w:t>
      </w:r>
      <w:r w:rsidR="0004585A" w:rsidRPr="0004585A">
        <w:rPr>
          <w:sz w:val="28"/>
          <w:szCs w:val="28"/>
        </w:rPr>
        <w:t>20</w:t>
      </w:r>
      <w:r w:rsidR="00A66CA8" w:rsidRPr="0004585A">
        <w:rPr>
          <w:sz w:val="28"/>
          <w:szCs w:val="28"/>
        </w:rPr>
        <w:t xml:space="preserve"> и 20</w:t>
      </w:r>
      <w:r w:rsidR="00E237A7" w:rsidRPr="0004585A">
        <w:rPr>
          <w:sz w:val="28"/>
          <w:szCs w:val="28"/>
        </w:rPr>
        <w:t>2</w:t>
      </w:r>
      <w:r w:rsidR="0004585A" w:rsidRPr="0004585A">
        <w:rPr>
          <w:sz w:val="28"/>
          <w:szCs w:val="28"/>
        </w:rPr>
        <w:t>1</w:t>
      </w:r>
      <w:r w:rsidR="00A66CA8" w:rsidRPr="0004585A">
        <w:rPr>
          <w:sz w:val="28"/>
          <w:szCs w:val="28"/>
        </w:rPr>
        <w:t xml:space="preserve"> год</w:t>
      </w:r>
      <w:r w:rsidR="00A8173C" w:rsidRPr="0004585A">
        <w:rPr>
          <w:sz w:val="28"/>
          <w:szCs w:val="28"/>
        </w:rPr>
        <w:t>ов</w:t>
      </w:r>
      <w:r w:rsidR="00A66CA8" w:rsidRPr="0004585A">
        <w:rPr>
          <w:sz w:val="28"/>
          <w:szCs w:val="28"/>
        </w:rPr>
        <w:t xml:space="preserve"> (далее з</w:t>
      </w:r>
      <w:r w:rsidRPr="0004585A">
        <w:rPr>
          <w:sz w:val="28"/>
          <w:szCs w:val="28"/>
        </w:rPr>
        <w:t>аключение) подготовлено в соответствии с Бюджетным кодексом РФ,</w:t>
      </w:r>
      <w:r w:rsidR="003D3B3F" w:rsidRPr="0004585A">
        <w:rPr>
          <w:sz w:val="28"/>
          <w:szCs w:val="28"/>
        </w:rPr>
        <w:t xml:space="preserve"> Фед</w:t>
      </w:r>
      <w:r w:rsidR="005E1876" w:rsidRPr="0004585A">
        <w:rPr>
          <w:sz w:val="28"/>
          <w:szCs w:val="28"/>
        </w:rPr>
        <w:t>еральным законом от 07.02.2011 №6-</w:t>
      </w:r>
      <w:r w:rsidR="003D3B3F" w:rsidRPr="0004585A">
        <w:rPr>
          <w:sz w:val="28"/>
          <w:szCs w:val="28"/>
        </w:rPr>
        <w:t>ФЗ «Об общих принципах организации и деятельности контро</w:t>
      </w:r>
      <w:r w:rsidR="0072077D" w:rsidRPr="0004585A">
        <w:rPr>
          <w:sz w:val="28"/>
          <w:szCs w:val="28"/>
        </w:rPr>
        <w:t>льно-счетных органов субъектов Р</w:t>
      </w:r>
      <w:r w:rsidR="003D3B3F" w:rsidRPr="0004585A">
        <w:rPr>
          <w:sz w:val="28"/>
          <w:szCs w:val="28"/>
        </w:rPr>
        <w:t>оссийской Федерации и муниципальных образований</w:t>
      </w:r>
      <w:r w:rsidR="007D0340" w:rsidRPr="0004585A">
        <w:rPr>
          <w:sz w:val="28"/>
          <w:szCs w:val="28"/>
        </w:rPr>
        <w:t>»</w:t>
      </w:r>
      <w:r w:rsidR="003D3B3F" w:rsidRPr="0004585A">
        <w:rPr>
          <w:sz w:val="28"/>
          <w:szCs w:val="28"/>
        </w:rPr>
        <w:t xml:space="preserve">, </w:t>
      </w:r>
      <w:r w:rsidRPr="0004585A">
        <w:rPr>
          <w:sz w:val="28"/>
          <w:szCs w:val="28"/>
        </w:rPr>
        <w:t xml:space="preserve"> Уставом города Липецка, Положениями «Об основах бюджетного устройства и бюджетного процесса в городе Липецке», «О Счетной палате города Липецка», иными актами законодательства Российской Федерации, Липецкой области и города Липецка</w:t>
      </w:r>
      <w:r w:rsidR="00CD4C5B" w:rsidRPr="0004585A">
        <w:rPr>
          <w:sz w:val="28"/>
          <w:szCs w:val="28"/>
        </w:rPr>
        <w:t>, на основании стандарта внешнего муниципального</w:t>
      </w:r>
      <w:r w:rsidR="001876B4" w:rsidRPr="0004585A">
        <w:rPr>
          <w:sz w:val="28"/>
          <w:szCs w:val="28"/>
        </w:rPr>
        <w:t xml:space="preserve"> финансового контроля СФК 3/2014 «Предварительный контроль формирования бюджета города Липецка»</w:t>
      </w:r>
      <w:r w:rsidRPr="0004585A">
        <w:rPr>
          <w:sz w:val="28"/>
          <w:szCs w:val="28"/>
        </w:rPr>
        <w:t>.</w:t>
      </w:r>
    </w:p>
    <w:p w:rsidR="00994FA6" w:rsidRPr="0004585A" w:rsidRDefault="007D0340" w:rsidP="0004585A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</w:r>
      <w:r w:rsidR="0004585A" w:rsidRPr="0004585A">
        <w:rPr>
          <w:sz w:val="28"/>
          <w:szCs w:val="28"/>
        </w:rPr>
        <w:t>При подготовке заключения проанализирована реализация положений, сформулированных в основополагающих для составления проекта бюджета документах:</w:t>
      </w:r>
    </w:p>
    <w:p w:rsidR="00563E6B" w:rsidRDefault="00563E6B" w:rsidP="0056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Послании</w:t>
      </w:r>
      <w:proofErr w:type="gramEnd"/>
      <w:r>
        <w:rPr>
          <w:sz w:val="28"/>
          <w:szCs w:val="28"/>
        </w:rPr>
        <w:t xml:space="preserve"> Президента Российской Федерации Федеральному Собранию Российской Федерации от 1 марта 2018 года;</w:t>
      </w:r>
    </w:p>
    <w:p w:rsidR="0004585A" w:rsidRDefault="007F0D79" w:rsidP="00527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Указе</w:t>
      </w:r>
      <w:proofErr w:type="gramEnd"/>
      <w:r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7F0D79" w:rsidRDefault="007F0D79" w:rsidP="00527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Министерства финансов РФ «Основные направления бюджетной, налоговой и таможенно-тарифной политики на 2019 год и на плановый период 2020-2021 годов»;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города Липецка на 2019 год и на плановый период 2020 и 2021 годов;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A72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развития бюджетной и налоговой политики города Липецка на 2019 год и на плановый период 2020 и 2021 годов.</w:t>
      </w:r>
    </w:p>
    <w:p w:rsidR="0022390D" w:rsidRPr="0004585A" w:rsidRDefault="005E1876" w:rsidP="005278B8">
      <w:pPr>
        <w:ind w:firstLine="709"/>
        <w:jc w:val="both"/>
        <w:rPr>
          <w:sz w:val="28"/>
          <w:szCs w:val="28"/>
        </w:rPr>
      </w:pPr>
      <w:r w:rsidRPr="0004585A">
        <w:rPr>
          <w:sz w:val="28"/>
          <w:szCs w:val="28"/>
        </w:rPr>
        <w:t>В з</w:t>
      </w:r>
      <w:r w:rsidR="00994FA6" w:rsidRPr="0004585A">
        <w:rPr>
          <w:sz w:val="28"/>
          <w:szCs w:val="28"/>
        </w:rPr>
        <w:t>аключении использованы результаты контрольных и экспертно-аналитических мероприятий, проведенных Счетной палатой, проанализированы расчетные показатели участников бюджетного п</w:t>
      </w:r>
      <w:r w:rsidR="000D5A30" w:rsidRPr="0004585A">
        <w:rPr>
          <w:sz w:val="28"/>
          <w:szCs w:val="28"/>
        </w:rPr>
        <w:t>роцесса, проекты</w:t>
      </w:r>
      <w:r w:rsidR="001876B4" w:rsidRPr="0004585A">
        <w:rPr>
          <w:sz w:val="28"/>
          <w:szCs w:val="28"/>
        </w:rPr>
        <w:t xml:space="preserve"> </w:t>
      </w:r>
      <w:r w:rsidR="000D5A30" w:rsidRPr="0004585A">
        <w:rPr>
          <w:sz w:val="28"/>
          <w:szCs w:val="28"/>
        </w:rPr>
        <w:t>муниципальных</w:t>
      </w:r>
      <w:r w:rsidR="00D83891">
        <w:rPr>
          <w:sz w:val="28"/>
          <w:szCs w:val="28"/>
        </w:rPr>
        <w:t xml:space="preserve"> программ на период 2017 – 2024</w:t>
      </w:r>
      <w:r w:rsidR="00285C80" w:rsidRPr="0004585A">
        <w:rPr>
          <w:sz w:val="28"/>
          <w:szCs w:val="28"/>
        </w:rPr>
        <w:t xml:space="preserve"> </w:t>
      </w:r>
      <w:r w:rsidR="007D0340" w:rsidRPr="0004585A">
        <w:rPr>
          <w:sz w:val="28"/>
          <w:szCs w:val="28"/>
        </w:rPr>
        <w:t>годов</w:t>
      </w:r>
      <w:r w:rsidR="00994FA6" w:rsidRPr="0004585A">
        <w:rPr>
          <w:sz w:val="28"/>
          <w:szCs w:val="28"/>
        </w:rPr>
        <w:t>.</w:t>
      </w:r>
    </w:p>
    <w:p w:rsidR="0008632D" w:rsidRPr="007934A2" w:rsidRDefault="0008632D" w:rsidP="00994FA6">
      <w:pPr>
        <w:jc w:val="center"/>
        <w:rPr>
          <w:b/>
          <w:sz w:val="28"/>
          <w:szCs w:val="28"/>
        </w:rPr>
      </w:pPr>
    </w:p>
    <w:p w:rsidR="00994FA6" w:rsidRPr="007934A2" w:rsidRDefault="00994FA6" w:rsidP="00994FA6">
      <w:pPr>
        <w:jc w:val="center"/>
        <w:rPr>
          <w:b/>
          <w:sz w:val="28"/>
          <w:szCs w:val="28"/>
        </w:rPr>
      </w:pPr>
      <w:r w:rsidRPr="007934A2">
        <w:rPr>
          <w:b/>
          <w:sz w:val="28"/>
          <w:szCs w:val="28"/>
        </w:rPr>
        <w:t>2</w:t>
      </w:r>
      <w:r w:rsidR="007934A2">
        <w:rPr>
          <w:b/>
          <w:sz w:val="28"/>
          <w:szCs w:val="28"/>
        </w:rPr>
        <w:t xml:space="preserve">. </w:t>
      </w:r>
      <w:r w:rsidR="007934A2" w:rsidRPr="007934A2">
        <w:rPr>
          <w:b/>
          <w:sz w:val="28"/>
          <w:szCs w:val="28"/>
        </w:rPr>
        <w:t>Новаци</w:t>
      </w:r>
      <w:r w:rsidR="004752EC">
        <w:rPr>
          <w:b/>
          <w:sz w:val="28"/>
          <w:szCs w:val="28"/>
        </w:rPr>
        <w:t>и</w:t>
      </w:r>
      <w:r w:rsidR="007934A2" w:rsidRPr="007934A2">
        <w:rPr>
          <w:b/>
          <w:sz w:val="28"/>
          <w:szCs w:val="28"/>
        </w:rPr>
        <w:t xml:space="preserve"> законодательства и параметры прогноза макроэкономических показателей для формирования проекта бюджета</w:t>
      </w:r>
    </w:p>
    <w:p w:rsidR="0008632D" w:rsidRPr="001B2615" w:rsidRDefault="0008632D" w:rsidP="005278B8">
      <w:pPr>
        <w:rPr>
          <w:b/>
          <w:color w:val="FF0000"/>
          <w:sz w:val="28"/>
          <w:szCs w:val="28"/>
        </w:rPr>
      </w:pPr>
    </w:p>
    <w:p w:rsidR="00AD7F82" w:rsidRDefault="004752EC" w:rsidP="008715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Приоритеты социально-экономического развития Российской Ф</w:t>
      </w:r>
      <w:r w:rsidR="00AD7F82">
        <w:rPr>
          <w:sz w:val="28"/>
          <w:szCs w:val="28"/>
        </w:rPr>
        <w:t xml:space="preserve">едерации, национальные цели и задачи </w:t>
      </w:r>
      <w:r w:rsidR="005C7594">
        <w:rPr>
          <w:sz w:val="28"/>
          <w:szCs w:val="28"/>
        </w:rPr>
        <w:t>определены</w:t>
      </w:r>
      <w:r w:rsidR="00AD7F82">
        <w:rPr>
          <w:sz w:val="28"/>
          <w:szCs w:val="28"/>
        </w:rPr>
        <w:t xml:space="preserve"> Президентом России на ближайшие 6 лет в послании Федеральному Собранию РФ от 1 марта 20</w:t>
      </w:r>
      <w:r w:rsidR="00D83891">
        <w:rPr>
          <w:sz w:val="28"/>
          <w:szCs w:val="28"/>
        </w:rPr>
        <w:t>1</w:t>
      </w:r>
      <w:r w:rsidR="00AD7F82">
        <w:rPr>
          <w:sz w:val="28"/>
          <w:szCs w:val="28"/>
        </w:rPr>
        <w:t>8 года и Указе от 07.05.2018  №204 практически во всех</w:t>
      </w:r>
      <w:r w:rsidR="005C7594">
        <w:rPr>
          <w:sz w:val="28"/>
          <w:szCs w:val="28"/>
        </w:rPr>
        <w:t xml:space="preserve"> социальных</w:t>
      </w:r>
      <w:r w:rsidR="00AD7F82">
        <w:rPr>
          <w:sz w:val="28"/>
          <w:szCs w:val="28"/>
        </w:rPr>
        <w:t xml:space="preserve"> сферах – повышение качества жизни и благосостояния граждан, снижение бедности, повышение качества и доступности здравоохранения и образования, создание современной инфраструктуры.</w:t>
      </w:r>
      <w:proofErr w:type="gramEnd"/>
    </w:p>
    <w:p w:rsidR="004752EC" w:rsidRDefault="005C7594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бюджетной сфере п</w:t>
      </w:r>
      <w:r w:rsidR="00AD7F82">
        <w:rPr>
          <w:sz w:val="28"/>
          <w:szCs w:val="28"/>
        </w:rPr>
        <w:t>ланируется принятие</w:t>
      </w:r>
      <w:r w:rsidR="00795E19">
        <w:rPr>
          <w:sz w:val="28"/>
          <w:szCs w:val="28"/>
        </w:rPr>
        <w:t xml:space="preserve"> ряда</w:t>
      </w:r>
      <w:r w:rsidR="00AD7F82">
        <w:rPr>
          <w:sz w:val="28"/>
          <w:szCs w:val="28"/>
        </w:rPr>
        <w:t xml:space="preserve"> мер  </w:t>
      </w:r>
      <w:r w:rsidR="00795E19">
        <w:rPr>
          <w:sz w:val="28"/>
          <w:szCs w:val="28"/>
        </w:rPr>
        <w:t>по расширению доходной базы регионов, изменению разграничения полномочий между Российской Федерацией и субъектами РФ.</w:t>
      </w:r>
    </w:p>
    <w:p w:rsidR="00795E19" w:rsidRDefault="00795E19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повышения эффективности бюджетных расходов в предстоящем периоде будет выступать развитие института государственных (муниципальных) программ на проектных принципах управления.</w:t>
      </w:r>
    </w:p>
    <w:p w:rsidR="00795E19" w:rsidRDefault="00795E19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системных мер предусматривается формирование стабильных налоговых условий для делового сообщества.</w:t>
      </w:r>
    </w:p>
    <w:p w:rsidR="00795E19" w:rsidRDefault="00DD68EC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</w:t>
      </w:r>
      <w:r w:rsidR="00795E19">
        <w:rPr>
          <w:sz w:val="28"/>
          <w:szCs w:val="28"/>
        </w:rPr>
        <w:t>дполагается повысить основную ставку НДС с 18% до 20%</w:t>
      </w:r>
      <w:r w:rsidR="00D83891">
        <w:rPr>
          <w:sz w:val="28"/>
          <w:szCs w:val="28"/>
        </w:rPr>
        <w:t>,</w:t>
      </w:r>
      <w:r w:rsidR="00795E19">
        <w:rPr>
          <w:sz w:val="28"/>
          <w:szCs w:val="28"/>
        </w:rPr>
        <w:t xml:space="preserve"> с фиксацией</w:t>
      </w:r>
      <w:r w:rsidR="009342DF">
        <w:rPr>
          <w:sz w:val="28"/>
          <w:szCs w:val="28"/>
        </w:rPr>
        <w:t xml:space="preserve"> на постоянной основе ставки тарифа </w:t>
      </w:r>
      <w:r w:rsidR="004257BA">
        <w:rPr>
          <w:sz w:val="28"/>
          <w:szCs w:val="28"/>
        </w:rPr>
        <w:t>страховых взносов на уровне 30%.</w:t>
      </w:r>
    </w:p>
    <w:p w:rsidR="004257BA" w:rsidRDefault="004257BA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2019 года планируется исключить из объекта налогообложения движимое имущество.</w:t>
      </w:r>
    </w:p>
    <w:p w:rsidR="004257BA" w:rsidRDefault="005306CF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2019 -2021 гг. планируется продолжить реализацию комплекса мер по улучшению администрирования доходов </w:t>
      </w:r>
      <w:r w:rsidR="00425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системы, в том числе за счет дальнейшей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налогового администрирования.</w:t>
      </w:r>
    </w:p>
    <w:p w:rsidR="005D7B97" w:rsidRDefault="005D7B97" w:rsidP="00871544">
      <w:pPr>
        <w:ind w:firstLine="709"/>
        <w:jc w:val="both"/>
        <w:rPr>
          <w:sz w:val="28"/>
          <w:szCs w:val="28"/>
        </w:rPr>
      </w:pPr>
    </w:p>
    <w:p w:rsidR="005306CF" w:rsidRDefault="005306CF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города на 2019 год и плановый период 2020-2021 годов разработаны в соответствии со статьей 184.2 Бюджетного кодекса РФ. Бюджетная и налоговая политика города Липецка на предстоящий период предполагает участие в пределах возложенных полномочий в ре</w:t>
      </w:r>
      <w:r w:rsidR="00943AF0">
        <w:rPr>
          <w:sz w:val="28"/>
          <w:szCs w:val="28"/>
        </w:rPr>
        <w:t>ализации</w:t>
      </w:r>
      <w:r>
        <w:rPr>
          <w:sz w:val="28"/>
          <w:szCs w:val="28"/>
        </w:rPr>
        <w:t xml:space="preserve"> Указа Президента</w:t>
      </w:r>
      <w:r w:rsidR="00CE70D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от 07.05.2018 №204 и разработанных в соответствии с ним </w:t>
      </w:r>
      <w:r w:rsidR="00943AF0">
        <w:rPr>
          <w:sz w:val="28"/>
          <w:szCs w:val="28"/>
        </w:rPr>
        <w:t>н</w:t>
      </w:r>
      <w:r>
        <w:rPr>
          <w:sz w:val="28"/>
          <w:szCs w:val="28"/>
        </w:rPr>
        <w:t>ациональных проектов.</w:t>
      </w:r>
    </w:p>
    <w:p w:rsidR="005306CF" w:rsidRDefault="00210A79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бюджетной политики на 2019-2021 годы также будут являться:</w:t>
      </w:r>
    </w:p>
    <w:p w:rsidR="00AD7F82" w:rsidRDefault="00D37426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BC5">
        <w:rPr>
          <w:sz w:val="28"/>
          <w:szCs w:val="28"/>
        </w:rPr>
        <w:t>обеспечение сбалансированного распределения имеющихся бюджетных ресурсов между действующими расходными полномочиями и расходами на развитие;</w:t>
      </w:r>
    </w:p>
    <w:p w:rsidR="00AB1BC5" w:rsidRDefault="00AB1BC5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безусловное исполнение действующих расходных обязательств с учетом их оптимизации;</w:t>
      </w:r>
    </w:p>
    <w:p w:rsidR="00AB1BC5" w:rsidRDefault="00AB1BC5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ответственности и заинтересованности исполнителей муниципальных программ за достижение наилучших результатов в рамках ограниченных финансовых ресурсов;</w:t>
      </w:r>
    </w:p>
    <w:p w:rsidR="00AB1BC5" w:rsidRDefault="00AB1BC5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граждан в процедуры обсуждения и принятия конкретных бюджетных </w:t>
      </w:r>
      <w:r w:rsidR="008D37C3">
        <w:rPr>
          <w:sz w:val="28"/>
          <w:szCs w:val="28"/>
        </w:rPr>
        <w:t>решений.</w:t>
      </w:r>
    </w:p>
    <w:p w:rsidR="00793168" w:rsidRDefault="00793168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составления проекта бюджета является оценка изменений социально-экономической </w:t>
      </w:r>
      <w:r w:rsidR="00D750D3">
        <w:rPr>
          <w:sz w:val="28"/>
          <w:szCs w:val="28"/>
        </w:rPr>
        <w:t xml:space="preserve">ситуации в городе, </w:t>
      </w:r>
      <w:r w:rsidR="008D1003">
        <w:rPr>
          <w:sz w:val="28"/>
          <w:szCs w:val="28"/>
        </w:rPr>
        <w:t>отраженная в прогнозе социально-экономического развития города Липецка на 2019 год и плановый период 2020 и 2021 годов.</w:t>
      </w:r>
    </w:p>
    <w:p w:rsidR="0088338B" w:rsidRDefault="0088338B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к проекту прогноз социально-экономического развития отражает развитие города в условиях реализации активной региональной и муниципальной политики, направленной на улучшение инвестиционного климата, развитие конкуренции, поддержание условий для стабильного экономического и социального развития городской экономики.</w:t>
      </w:r>
    </w:p>
    <w:p w:rsidR="00AD7F82" w:rsidRPr="004752EC" w:rsidRDefault="0088338B" w:rsidP="0087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экономическая ситуация и динамика основных макроэкономических показателей позволяет прогнозировать положительные тенденции на 2019 год и плановый период.</w:t>
      </w:r>
    </w:p>
    <w:p w:rsidR="00BA1972" w:rsidRPr="0088338B" w:rsidRDefault="00BA1972" w:rsidP="00BA1972">
      <w:pPr>
        <w:ind w:firstLine="709"/>
        <w:jc w:val="right"/>
        <w:rPr>
          <w:sz w:val="22"/>
          <w:szCs w:val="22"/>
        </w:rPr>
      </w:pPr>
      <w:proofErr w:type="gramStart"/>
      <w:r w:rsidRPr="0088338B">
        <w:rPr>
          <w:sz w:val="22"/>
          <w:szCs w:val="22"/>
        </w:rPr>
        <w:t>в</w:t>
      </w:r>
      <w:proofErr w:type="gramEnd"/>
      <w:r w:rsidRPr="0088338B">
        <w:rPr>
          <w:sz w:val="22"/>
          <w:szCs w:val="22"/>
        </w:rPr>
        <w:t xml:space="preserve"> % </w:t>
      </w:r>
      <w:proofErr w:type="gramStart"/>
      <w:r w:rsidRPr="0088338B">
        <w:rPr>
          <w:sz w:val="22"/>
          <w:szCs w:val="22"/>
        </w:rPr>
        <w:t>к</w:t>
      </w:r>
      <w:proofErr w:type="gramEnd"/>
      <w:r w:rsidRPr="0088338B">
        <w:rPr>
          <w:sz w:val="22"/>
          <w:szCs w:val="22"/>
        </w:rPr>
        <w:t xml:space="preserve"> </w:t>
      </w:r>
      <w:r w:rsidR="00080C64" w:rsidRPr="0088338B">
        <w:rPr>
          <w:sz w:val="22"/>
          <w:szCs w:val="22"/>
        </w:rPr>
        <w:t>предыдущему</w:t>
      </w:r>
      <w:r w:rsidRPr="0088338B">
        <w:rPr>
          <w:sz w:val="22"/>
          <w:szCs w:val="22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19"/>
        <w:gridCol w:w="992"/>
        <w:gridCol w:w="1134"/>
        <w:gridCol w:w="1134"/>
        <w:gridCol w:w="1134"/>
        <w:gridCol w:w="993"/>
      </w:tblGrid>
      <w:tr w:rsidR="00ED4D6C" w:rsidRPr="0088338B" w:rsidTr="00EF1EC9">
        <w:trPr>
          <w:trHeight w:val="683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88338B" w:rsidRDefault="00ED4D6C" w:rsidP="00F455B4">
            <w:pPr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D4D6C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ED4D6C" w:rsidRPr="0088338B" w:rsidRDefault="00ED4D6C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D4D6C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ED4D6C" w:rsidRPr="0088338B" w:rsidRDefault="00ED4D6C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88338B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ED4D6C" w:rsidRPr="0088338B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  <w:p w:rsidR="00ED4D6C" w:rsidRPr="0088338B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D6C" w:rsidRPr="00ED4D6C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D4D6C">
              <w:rPr>
                <w:sz w:val="22"/>
                <w:szCs w:val="22"/>
              </w:rPr>
              <w:t xml:space="preserve"> г.</w:t>
            </w:r>
          </w:p>
          <w:p w:rsidR="00ED4D6C" w:rsidRPr="0088338B" w:rsidRDefault="00ED4D6C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прогноз</w:t>
            </w:r>
          </w:p>
        </w:tc>
      </w:tr>
      <w:tr w:rsidR="00ED4D6C" w:rsidRPr="0088338B" w:rsidTr="00EF1EC9">
        <w:trPr>
          <w:trHeight w:val="7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D4D6C">
              <w:rPr>
                <w:sz w:val="22"/>
                <w:szCs w:val="22"/>
              </w:rPr>
              <w:t xml:space="preserve">Объем отгруженных товаров собственного промышленного производства, выполненных работ и </w:t>
            </w:r>
            <w:r w:rsidR="00D83891">
              <w:rPr>
                <w:sz w:val="22"/>
                <w:szCs w:val="22"/>
              </w:rPr>
              <w:t xml:space="preserve">оказанных </w:t>
            </w:r>
            <w:r w:rsidRPr="00ED4D6C">
              <w:rPr>
                <w:sz w:val="22"/>
                <w:szCs w:val="22"/>
              </w:rPr>
              <w:t xml:space="preserve">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D4D6C" w:rsidP="00ED4D6C">
            <w:pPr>
              <w:ind w:left="-115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115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</w:t>
            </w:r>
          </w:p>
          <w:p w:rsidR="00ED4D6C" w:rsidRPr="0088338B" w:rsidRDefault="00ED4D6C" w:rsidP="00ED4D6C">
            <w:pPr>
              <w:ind w:left="-11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D4D6C" w:rsidP="00ED4D6C">
            <w:pPr>
              <w:ind w:left="-72" w:right="-108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72" w:right="-108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  <w:p w:rsidR="00ED4D6C" w:rsidRPr="0088338B" w:rsidRDefault="00ED4D6C" w:rsidP="00ED4D6C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ED4D6C" w:rsidRPr="00ED4D6C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ED4D6C" w:rsidRPr="0088338B" w:rsidRDefault="00ED4D6C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ED4D6C" w:rsidRPr="0088338B" w:rsidTr="00EF1EC9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D4D6C">
              <w:rPr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15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right="-108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102,0</w:t>
            </w:r>
          </w:p>
        </w:tc>
      </w:tr>
      <w:tr w:rsidR="00ED4D6C" w:rsidRPr="0088338B" w:rsidTr="00EF1E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D4D6C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6C" w:rsidRPr="0088338B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D4D6C" w:rsidRPr="0088338B" w:rsidTr="00EF1E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ED4D6C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15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72" w:right="-108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ED4D6C" w:rsidRDefault="00ED4D6C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109,5</w:t>
            </w:r>
          </w:p>
        </w:tc>
      </w:tr>
      <w:tr w:rsidR="00ED4D6C" w:rsidRPr="0088338B" w:rsidTr="00EF1E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ED4D6C">
              <w:rPr>
                <w:sz w:val="22"/>
                <w:szCs w:val="22"/>
              </w:rPr>
              <w:t>Сальдированный финансовый результат (прибыль-убыток) по крупным и средним предприятиям млн. руб.,</w:t>
            </w:r>
          </w:p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proofErr w:type="gramStart"/>
            <w:r w:rsidRPr="00ED4D6C">
              <w:rPr>
                <w:i/>
                <w:sz w:val="22"/>
                <w:szCs w:val="22"/>
              </w:rPr>
              <w:t>в</w:t>
            </w:r>
            <w:proofErr w:type="gramEnd"/>
            <w:r w:rsidRPr="00ED4D6C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ED4D6C">
              <w:rPr>
                <w:i/>
                <w:sz w:val="22"/>
                <w:szCs w:val="22"/>
              </w:rPr>
              <w:t>к</w:t>
            </w:r>
            <w:proofErr w:type="gramEnd"/>
            <w:r w:rsidRPr="00ED4D6C">
              <w:rPr>
                <w:i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D4D6C" w:rsidP="00466F74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137567</w:t>
            </w:r>
          </w:p>
          <w:p w:rsidR="00ED4D6C" w:rsidRDefault="00ED4D6C" w:rsidP="00466F74">
            <w:pPr>
              <w:ind w:left="-115"/>
              <w:jc w:val="center"/>
              <w:rPr>
                <w:i/>
                <w:sz w:val="22"/>
                <w:szCs w:val="22"/>
              </w:rPr>
            </w:pPr>
          </w:p>
          <w:p w:rsidR="00ED4D6C" w:rsidRPr="0088338B" w:rsidRDefault="00ED4D6C" w:rsidP="00466F74">
            <w:pPr>
              <w:ind w:left="-115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F1EC9" w:rsidP="00466F74">
            <w:pPr>
              <w:ind w:left="-7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4D6C">
              <w:rPr>
                <w:sz w:val="22"/>
                <w:szCs w:val="22"/>
              </w:rPr>
              <w:t>141969</w:t>
            </w:r>
          </w:p>
          <w:p w:rsidR="00ED4D6C" w:rsidRDefault="00ED4D6C" w:rsidP="00466F74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  <w:p w:rsidR="00ED4D6C" w:rsidRPr="0088338B" w:rsidRDefault="00ED4D6C" w:rsidP="00466F74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6C" w:rsidRPr="0088338B" w:rsidRDefault="00ED4D6C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150061</w:t>
            </w:r>
          </w:p>
          <w:p w:rsidR="00ED4D6C" w:rsidRDefault="00ED4D6C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</w:p>
          <w:p w:rsidR="00ED4D6C" w:rsidRPr="0088338B" w:rsidRDefault="00ED4D6C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Default="00ED4D6C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159065</w:t>
            </w:r>
          </w:p>
          <w:p w:rsidR="00ED4D6C" w:rsidRDefault="00ED4D6C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ED4D6C" w:rsidRPr="00EF1EC9" w:rsidRDefault="00ED4D6C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  <w:r w:rsidRPr="00EF1EC9">
              <w:rPr>
                <w:i/>
                <w:sz w:val="22"/>
                <w:szCs w:val="22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Default="00ED4D6C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168450</w:t>
            </w:r>
          </w:p>
          <w:p w:rsidR="00EF1EC9" w:rsidRDefault="00EF1EC9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EF1EC9" w:rsidRPr="00EF1EC9" w:rsidRDefault="00EF1EC9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  <w:r w:rsidRPr="00EF1EC9">
              <w:rPr>
                <w:i/>
                <w:sz w:val="22"/>
                <w:szCs w:val="22"/>
              </w:rPr>
              <w:t>105,9</w:t>
            </w:r>
          </w:p>
        </w:tc>
      </w:tr>
      <w:tr w:rsidR="00ED4D6C" w:rsidRPr="0088338B" w:rsidTr="00EF1EC9">
        <w:trPr>
          <w:trHeight w:val="4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</w:t>
            </w:r>
            <w:r w:rsidRPr="00ED4D6C">
              <w:rPr>
                <w:sz w:val="22"/>
                <w:szCs w:val="22"/>
              </w:rPr>
              <w:t xml:space="preserve">Индекс потребительских цен (к декабрю </w:t>
            </w:r>
            <w:proofErr w:type="gramEnd"/>
          </w:p>
          <w:p w:rsidR="00ED4D6C" w:rsidRPr="00ED4D6C" w:rsidRDefault="00ED4D6C" w:rsidP="00ED4D6C">
            <w:pPr>
              <w:ind w:right="-101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предыдущего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F1EC9" w:rsidP="008E3EA7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  <w:p w:rsidR="00ED4D6C" w:rsidRPr="0088338B" w:rsidRDefault="00ED4D6C" w:rsidP="008E3EA7">
            <w:pPr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C" w:rsidRPr="0088338B" w:rsidRDefault="00EF1EC9" w:rsidP="008E3EA7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  <w:p w:rsidR="00ED4D6C" w:rsidRPr="0088338B" w:rsidRDefault="00ED4D6C" w:rsidP="008E3EA7">
            <w:pPr>
              <w:ind w:left="-7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6C" w:rsidRPr="0088338B" w:rsidRDefault="00EF1EC9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  <w:p w:rsidR="00ED4D6C" w:rsidRPr="0088338B" w:rsidRDefault="00ED4D6C" w:rsidP="00CA6829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F1EC9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C" w:rsidRPr="0088338B" w:rsidRDefault="00EF1EC9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</w:tbl>
    <w:p w:rsidR="0019313F" w:rsidRPr="001B2615" w:rsidRDefault="0019313F" w:rsidP="00C710EE">
      <w:pPr>
        <w:ind w:firstLine="709"/>
        <w:jc w:val="both"/>
        <w:rPr>
          <w:color w:val="FF0000"/>
          <w:sz w:val="28"/>
          <w:szCs w:val="28"/>
        </w:rPr>
      </w:pPr>
    </w:p>
    <w:p w:rsidR="004B5145" w:rsidRDefault="00CA6829" w:rsidP="00EF1EC9">
      <w:pPr>
        <w:ind w:firstLine="709"/>
        <w:jc w:val="both"/>
        <w:rPr>
          <w:sz w:val="28"/>
          <w:szCs w:val="28"/>
        </w:rPr>
      </w:pPr>
      <w:r w:rsidRPr="00EF1EC9">
        <w:rPr>
          <w:sz w:val="28"/>
          <w:szCs w:val="28"/>
        </w:rPr>
        <w:t xml:space="preserve">Показатели объема инвестиций в основной капитал, оборота розничной </w:t>
      </w:r>
      <w:r w:rsidR="00615D71" w:rsidRPr="00EF1EC9">
        <w:rPr>
          <w:sz w:val="28"/>
          <w:szCs w:val="28"/>
        </w:rPr>
        <w:t>торговли спрогнозированы</w:t>
      </w:r>
      <w:r w:rsidR="00202B65" w:rsidRPr="00EF1EC9">
        <w:rPr>
          <w:sz w:val="28"/>
          <w:szCs w:val="28"/>
        </w:rPr>
        <w:t xml:space="preserve"> практически</w:t>
      </w:r>
      <w:r w:rsidR="00615D71" w:rsidRPr="00EF1EC9">
        <w:rPr>
          <w:sz w:val="28"/>
          <w:szCs w:val="28"/>
        </w:rPr>
        <w:t xml:space="preserve"> на уровне ожидаемой оценки 201</w:t>
      </w:r>
      <w:r w:rsidR="00D83891">
        <w:rPr>
          <w:sz w:val="28"/>
          <w:szCs w:val="28"/>
        </w:rPr>
        <w:t>8</w:t>
      </w:r>
      <w:r w:rsidR="00615D71" w:rsidRPr="00EF1EC9">
        <w:rPr>
          <w:sz w:val="28"/>
          <w:szCs w:val="28"/>
        </w:rPr>
        <w:t xml:space="preserve"> года</w:t>
      </w:r>
      <w:r w:rsidR="00943AF0">
        <w:rPr>
          <w:sz w:val="28"/>
          <w:szCs w:val="28"/>
        </w:rPr>
        <w:t>. В</w:t>
      </w:r>
      <w:r w:rsidR="00615D71" w:rsidRPr="00EF1EC9">
        <w:rPr>
          <w:sz w:val="28"/>
          <w:szCs w:val="28"/>
        </w:rPr>
        <w:t xml:space="preserve"> то же время прогнозируется </w:t>
      </w:r>
      <w:r w:rsidR="00EF1EC9">
        <w:rPr>
          <w:sz w:val="28"/>
          <w:szCs w:val="28"/>
        </w:rPr>
        <w:t xml:space="preserve">замедление темпов роста </w:t>
      </w:r>
      <w:r w:rsidR="00824011">
        <w:rPr>
          <w:sz w:val="28"/>
          <w:szCs w:val="28"/>
        </w:rPr>
        <w:t>объема отгруженных товаров собственного производства, выполненных работ и оказанных услуг (оценка 2018 года – 110,0%, прогноз на 2019 год – 106,5%, 2020 год -106,0%, 2021 год – 105,5%) и темпов роста оплаты труда (оценка 2018 года – 112,0%, прогноз на 2019 – 2021 годы – 109,5%).</w:t>
      </w:r>
    </w:p>
    <w:p w:rsidR="0008632D" w:rsidRPr="00EF1EC9" w:rsidRDefault="00824011" w:rsidP="00C71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Среднесписочная численность работающих сохранится на уровне текущего года </w:t>
      </w:r>
      <w:r w:rsidR="00943A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133,7 тыс. человек, </w:t>
      </w:r>
      <w:r w:rsidR="000B7EB0">
        <w:rPr>
          <w:sz w:val="28"/>
          <w:szCs w:val="28"/>
        </w:rPr>
        <w:t xml:space="preserve">а </w:t>
      </w:r>
      <w:r>
        <w:rPr>
          <w:sz w:val="28"/>
          <w:szCs w:val="28"/>
        </w:rPr>
        <w:t>средне</w:t>
      </w:r>
      <w:r w:rsidR="00DE1A72">
        <w:rPr>
          <w:sz w:val="28"/>
          <w:szCs w:val="28"/>
        </w:rPr>
        <w:t>месячная</w:t>
      </w:r>
      <w:r>
        <w:rPr>
          <w:sz w:val="28"/>
          <w:szCs w:val="28"/>
        </w:rPr>
        <w:t xml:space="preserve"> заработная плата составит 40,5 тыс. руб., </w:t>
      </w:r>
      <w:r w:rsidR="000B7EB0">
        <w:rPr>
          <w:sz w:val="28"/>
          <w:szCs w:val="28"/>
        </w:rPr>
        <w:t>к</w:t>
      </w:r>
      <w:r w:rsidR="00E7436F">
        <w:rPr>
          <w:sz w:val="28"/>
          <w:szCs w:val="28"/>
        </w:rPr>
        <w:t xml:space="preserve"> 2021 году прогнозируется рост до 53,0 тыс. рублей.</w:t>
      </w:r>
    </w:p>
    <w:p w:rsidR="007F4621" w:rsidRDefault="007F4621" w:rsidP="005278B8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B5145" w:rsidRDefault="00080C64" w:rsidP="005278B8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  <w:r w:rsidRPr="00B20063">
        <w:rPr>
          <w:b/>
          <w:color w:val="000000" w:themeColor="text1"/>
          <w:sz w:val="28"/>
          <w:szCs w:val="28"/>
        </w:rPr>
        <w:t>3. Основные характеристики проекта бюджета</w:t>
      </w:r>
    </w:p>
    <w:p w:rsidR="0008632D" w:rsidRDefault="0008632D" w:rsidP="00080C64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80C64" w:rsidRPr="00080C64" w:rsidRDefault="00080C64" w:rsidP="00080C64">
      <w:pPr>
        <w:ind w:firstLine="709"/>
        <w:jc w:val="both"/>
        <w:rPr>
          <w:sz w:val="28"/>
          <w:szCs w:val="28"/>
        </w:rPr>
      </w:pPr>
      <w:r w:rsidRPr="00080C64">
        <w:rPr>
          <w:sz w:val="28"/>
          <w:szCs w:val="28"/>
        </w:rPr>
        <w:t>Проект бюджета города внесен на рассмотрение Липецкого городс</w:t>
      </w:r>
      <w:r w:rsidR="00B20063">
        <w:rPr>
          <w:sz w:val="28"/>
          <w:szCs w:val="28"/>
        </w:rPr>
        <w:t xml:space="preserve">кого Совета депутатов </w:t>
      </w:r>
      <w:r w:rsidR="00394039">
        <w:rPr>
          <w:sz w:val="28"/>
          <w:szCs w:val="28"/>
        </w:rPr>
        <w:t>3</w:t>
      </w:r>
      <w:r w:rsidR="006374A8">
        <w:rPr>
          <w:sz w:val="28"/>
          <w:szCs w:val="28"/>
        </w:rPr>
        <w:t>1</w:t>
      </w:r>
      <w:r w:rsidR="00394039">
        <w:rPr>
          <w:sz w:val="28"/>
          <w:szCs w:val="28"/>
        </w:rPr>
        <w:t>.10.201</w:t>
      </w:r>
      <w:r w:rsidR="001B2615">
        <w:rPr>
          <w:sz w:val="28"/>
          <w:szCs w:val="28"/>
        </w:rPr>
        <w:t>8</w:t>
      </w:r>
      <w:r w:rsidRPr="00080C64">
        <w:rPr>
          <w:sz w:val="28"/>
          <w:szCs w:val="28"/>
        </w:rPr>
        <w:t xml:space="preserve"> года</w:t>
      </w:r>
      <w:r w:rsidR="00C57D99">
        <w:rPr>
          <w:sz w:val="28"/>
          <w:szCs w:val="28"/>
        </w:rPr>
        <w:t xml:space="preserve"> в </w:t>
      </w:r>
      <w:r w:rsidR="005B0D59">
        <w:rPr>
          <w:sz w:val="28"/>
          <w:szCs w:val="28"/>
        </w:rPr>
        <w:t>установленный срок</w:t>
      </w:r>
      <w:r w:rsidR="0039186E">
        <w:rPr>
          <w:sz w:val="28"/>
          <w:szCs w:val="28"/>
        </w:rPr>
        <w:t>,</w:t>
      </w:r>
      <w:r w:rsidR="005B0D59">
        <w:rPr>
          <w:sz w:val="28"/>
          <w:szCs w:val="28"/>
        </w:rPr>
        <w:t xml:space="preserve"> в полном объеме</w:t>
      </w:r>
      <w:r w:rsidRPr="00080C64">
        <w:rPr>
          <w:sz w:val="28"/>
          <w:szCs w:val="28"/>
        </w:rPr>
        <w:t xml:space="preserve">, </w:t>
      </w:r>
      <w:r w:rsidR="00943AF0">
        <w:rPr>
          <w:sz w:val="28"/>
          <w:szCs w:val="28"/>
        </w:rPr>
        <w:t xml:space="preserve">в </w:t>
      </w:r>
      <w:r w:rsidRPr="00080C64">
        <w:rPr>
          <w:sz w:val="28"/>
          <w:szCs w:val="28"/>
        </w:rPr>
        <w:t xml:space="preserve"> соответств</w:t>
      </w:r>
      <w:r w:rsidR="00943AF0">
        <w:rPr>
          <w:sz w:val="28"/>
          <w:szCs w:val="28"/>
        </w:rPr>
        <w:t>ии с</w:t>
      </w:r>
      <w:r w:rsidRPr="00080C64">
        <w:rPr>
          <w:sz w:val="28"/>
          <w:szCs w:val="28"/>
        </w:rPr>
        <w:t xml:space="preserve"> требованиям</w:t>
      </w:r>
      <w:r w:rsidR="00943AF0">
        <w:rPr>
          <w:sz w:val="28"/>
          <w:szCs w:val="28"/>
        </w:rPr>
        <w:t xml:space="preserve">и </w:t>
      </w:r>
      <w:r w:rsidRPr="00080C64">
        <w:rPr>
          <w:sz w:val="28"/>
          <w:szCs w:val="28"/>
        </w:rPr>
        <w:t>статьи 51 Положения «Об основах бюджетного устройства и бюджетного процесса в городе Липецке».</w:t>
      </w:r>
    </w:p>
    <w:p w:rsidR="00DD68EC" w:rsidRDefault="000C596D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подготовки проекта бюджета на предстоящий трехлетний период, создаются </w:t>
      </w:r>
      <w:r w:rsidR="00E200EB">
        <w:rPr>
          <w:sz w:val="28"/>
          <w:szCs w:val="28"/>
        </w:rPr>
        <w:t>необходимые условия для реализации задач, поставленных в Указе Пр</w:t>
      </w:r>
      <w:r w:rsidR="006D7294">
        <w:rPr>
          <w:sz w:val="28"/>
          <w:szCs w:val="28"/>
        </w:rPr>
        <w:t>езидента</w:t>
      </w:r>
      <w:r w:rsidR="00D83891">
        <w:rPr>
          <w:sz w:val="28"/>
          <w:szCs w:val="28"/>
        </w:rPr>
        <w:t xml:space="preserve"> РФ от 07.05.2018 №204 «О н</w:t>
      </w:r>
      <w:r w:rsidR="00E200EB">
        <w:rPr>
          <w:sz w:val="28"/>
          <w:szCs w:val="28"/>
        </w:rPr>
        <w:t>ациональных целях и стратегических задачах развития Российской Федерации на период до 2024 года</w:t>
      </w:r>
      <w:r w:rsidR="006D7294">
        <w:rPr>
          <w:sz w:val="28"/>
          <w:szCs w:val="28"/>
        </w:rPr>
        <w:t xml:space="preserve">» и разработанных </w:t>
      </w:r>
      <w:r w:rsidR="00D83891">
        <w:rPr>
          <w:sz w:val="28"/>
          <w:szCs w:val="28"/>
        </w:rPr>
        <w:t>н</w:t>
      </w:r>
      <w:r w:rsidR="00E200EB">
        <w:rPr>
          <w:sz w:val="28"/>
          <w:szCs w:val="28"/>
        </w:rPr>
        <w:t xml:space="preserve">ациональных проектов. </w:t>
      </w:r>
    </w:p>
    <w:p w:rsidR="000C596D" w:rsidRDefault="00E200EB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необходимых финансовых ресурсов, направляемых на достижение целей, сформированных в документах стратегического планирования города Липецка, разработан проект бюджетного прогноза города Липецка. С учетом этого, предусмотрено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соответствующих мероприятий национальных проектов в рамках муниципальных программ города Липецка.</w:t>
      </w:r>
    </w:p>
    <w:p w:rsidR="00394039" w:rsidRPr="00871544" w:rsidRDefault="006E37ED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проекта бюджета пров</w:t>
      </w:r>
      <w:r w:rsidR="00704CE9">
        <w:rPr>
          <w:sz w:val="28"/>
          <w:szCs w:val="28"/>
        </w:rPr>
        <w:t xml:space="preserve">еден анализ основных параметров </w:t>
      </w:r>
      <w:r>
        <w:rPr>
          <w:sz w:val="28"/>
          <w:szCs w:val="28"/>
        </w:rPr>
        <w:t>бюджета, а также соблюдение предельных ограничений, установленных бюджетным законодательством, результаты которого п</w:t>
      </w:r>
      <w:r w:rsidR="0019313F">
        <w:rPr>
          <w:sz w:val="28"/>
          <w:szCs w:val="28"/>
        </w:rPr>
        <w:t>редставлены в следующей таблице:</w:t>
      </w:r>
    </w:p>
    <w:p w:rsidR="00080C64" w:rsidRPr="00633E3A" w:rsidRDefault="00B376B7" w:rsidP="008F2339">
      <w:pPr>
        <w:ind w:firstLine="708"/>
        <w:jc w:val="right"/>
        <w:rPr>
          <w:sz w:val="22"/>
          <w:szCs w:val="22"/>
        </w:rPr>
      </w:pPr>
      <w:r w:rsidRPr="00633E3A">
        <w:rPr>
          <w:sz w:val="22"/>
          <w:szCs w:val="22"/>
        </w:rPr>
        <w:t>м</w:t>
      </w:r>
      <w:r w:rsidR="00080C64" w:rsidRPr="00633E3A">
        <w:rPr>
          <w:sz w:val="22"/>
          <w:szCs w:val="22"/>
        </w:rPr>
        <w:t>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993"/>
        <w:gridCol w:w="1134"/>
        <w:gridCol w:w="850"/>
        <w:gridCol w:w="851"/>
        <w:gridCol w:w="1043"/>
      </w:tblGrid>
      <w:tr w:rsidR="00633E3A" w:rsidRPr="00633E3A" w:rsidTr="00EC5A74">
        <w:trPr>
          <w:trHeight w:val="45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E3A" w:rsidRDefault="00633E3A" w:rsidP="00EC5A74">
            <w:pPr>
              <w:jc w:val="center"/>
              <w:rPr>
                <w:sz w:val="22"/>
                <w:szCs w:val="22"/>
              </w:rPr>
            </w:pPr>
          </w:p>
          <w:p w:rsidR="00633E3A" w:rsidRDefault="00633E3A" w:rsidP="00EC5A74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Бюджет 201</w:t>
            </w:r>
            <w:r w:rsidR="001B2615">
              <w:rPr>
                <w:sz w:val="22"/>
                <w:szCs w:val="22"/>
              </w:rPr>
              <w:t>8</w:t>
            </w:r>
            <w:r w:rsidRPr="00633E3A">
              <w:rPr>
                <w:sz w:val="22"/>
                <w:szCs w:val="22"/>
              </w:rPr>
              <w:t xml:space="preserve"> г.</w:t>
            </w:r>
          </w:p>
          <w:p w:rsidR="00633E3A" w:rsidRPr="00633E3A" w:rsidRDefault="00633E3A" w:rsidP="00EC5A7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первоначальный</w:t>
            </w:r>
          </w:p>
          <w:p w:rsidR="00633E3A" w:rsidRPr="00633E3A" w:rsidRDefault="00633E3A" w:rsidP="00EC5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C5A74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Бюджет </w:t>
            </w:r>
          </w:p>
          <w:p w:rsidR="00633E3A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201</w:t>
            </w:r>
            <w:r w:rsidR="001B2615">
              <w:rPr>
                <w:sz w:val="22"/>
                <w:szCs w:val="22"/>
              </w:rPr>
              <w:t>8</w:t>
            </w:r>
            <w:r w:rsidRPr="00633E3A">
              <w:rPr>
                <w:sz w:val="22"/>
                <w:szCs w:val="22"/>
              </w:rPr>
              <w:t xml:space="preserve"> г. </w:t>
            </w:r>
            <w:proofErr w:type="gramStart"/>
            <w:r w:rsidRPr="00633E3A">
              <w:rPr>
                <w:sz w:val="22"/>
                <w:szCs w:val="22"/>
              </w:rPr>
              <w:t>уточнен-</w:t>
            </w:r>
            <w:proofErr w:type="spellStart"/>
            <w:r w:rsidRPr="00633E3A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:rsidR="00633E3A" w:rsidRPr="00633E3A" w:rsidRDefault="00633E3A" w:rsidP="006374A8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3</w:t>
            </w:r>
            <w:r w:rsidR="006374A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.10.201</w:t>
            </w:r>
            <w:r w:rsidR="001B261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33E3A" w:rsidRDefault="00633E3A" w:rsidP="00633E3A">
            <w:pPr>
              <w:jc w:val="center"/>
              <w:rPr>
                <w:sz w:val="22"/>
                <w:szCs w:val="22"/>
              </w:rPr>
            </w:pPr>
          </w:p>
          <w:p w:rsidR="00633E3A" w:rsidRDefault="00633E3A" w:rsidP="00633E3A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Бюджет 201</w:t>
            </w:r>
            <w:r w:rsidR="000C596D">
              <w:rPr>
                <w:sz w:val="22"/>
                <w:szCs w:val="22"/>
              </w:rPr>
              <w:t>9</w:t>
            </w:r>
            <w:r w:rsidRPr="00633E3A">
              <w:rPr>
                <w:sz w:val="22"/>
                <w:szCs w:val="22"/>
              </w:rPr>
              <w:t xml:space="preserve"> г</w:t>
            </w:r>
            <w:r w:rsidR="00EC5A74">
              <w:rPr>
                <w:sz w:val="22"/>
                <w:szCs w:val="22"/>
              </w:rPr>
              <w:t>.</w:t>
            </w:r>
          </w:p>
          <w:p w:rsidR="00633E3A" w:rsidRPr="00633E3A" w:rsidRDefault="00633E3A" w:rsidP="00EC5A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3E3A" w:rsidRPr="00633E3A" w:rsidRDefault="00EC5A74" w:rsidP="001B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первоначаль</w:t>
            </w:r>
            <w:r w:rsidR="00633E3A" w:rsidRPr="00633E3A">
              <w:rPr>
                <w:sz w:val="22"/>
                <w:szCs w:val="22"/>
              </w:rPr>
              <w:t>ного  201</w:t>
            </w:r>
            <w:r w:rsidR="001B2615">
              <w:rPr>
                <w:sz w:val="22"/>
                <w:szCs w:val="22"/>
              </w:rPr>
              <w:t>8</w:t>
            </w:r>
            <w:r w:rsidR="00633E3A" w:rsidRPr="00633E3A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633E3A" w:rsidRPr="00633E3A" w:rsidRDefault="00633E3A" w:rsidP="00205400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Проект плановый период</w:t>
            </w:r>
          </w:p>
        </w:tc>
      </w:tr>
      <w:tr w:rsidR="00633E3A" w:rsidRPr="00633E3A" w:rsidTr="00EC5A74">
        <w:trPr>
          <w:trHeight w:val="457"/>
        </w:trPr>
        <w:tc>
          <w:tcPr>
            <w:tcW w:w="2093" w:type="dxa"/>
            <w:vMerge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E3A" w:rsidRPr="00633E3A" w:rsidRDefault="00633E3A" w:rsidP="00581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33E3A" w:rsidRPr="00633E3A" w:rsidRDefault="00633E3A" w:rsidP="00C15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33E3A" w:rsidRDefault="00633E3A" w:rsidP="00633E3A">
            <w:pPr>
              <w:ind w:left="-113" w:firstLine="113"/>
              <w:rPr>
                <w:sz w:val="22"/>
                <w:szCs w:val="22"/>
              </w:rPr>
            </w:pPr>
          </w:p>
          <w:p w:rsidR="00633E3A" w:rsidRPr="00633E3A" w:rsidRDefault="00537E3A" w:rsidP="001B2615">
            <w:pPr>
              <w:ind w:left="-113" w:right="-108"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6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633E3A" w:rsidRPr="00633E3A">
              <w:rPr>
                <w:sz w:val="22"/>
                <w:szCs w:val="22"/>
              </w:rPr>
              <w:t>г.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33E3A" w:rsidRPr="00633E3A" w:rsidRDefault="00633E3A" w:rsidP="001B261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B2615">
              <w:rPr>
                <w:sz w:val="22"/>
                <w:szCs w:val="22"/>
              </w:rPr>
              <w:t>1</w:t>
            </w:r>
            <w:r w:rsidRPr="00633E3A">
              <w:rPr>
                <w:sz w:val="22"/>
                <w:szCs w:val="22"/>
              </w:rPr>
              <w:t xml:space="preserve"> г.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6E37ED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Доходы всего:</w:t>
            </w:r>
          </w:p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10430,9</w:t>
            </w:r>
          </w:p>
        </w:tc>
        <w:tc>
          <w:tcPr>
            <w:tcW w:w="1275" w:type="dxa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12458,3</w:t>
            </w:r>
          </w:p>
        </w:tc>
        <w:tc>
          <w:tcPr>
            <w:tcW w:w="993" w:type="dxa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10856,8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+ 425,9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+ 4,1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9136,2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8553,3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собственные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4311,1</w:t>
            </w:r>
          </w:p>
        </w:tc>
        <w:tc>
          <w:tcPr>
            <w:tcW w:w="1275" w:type="dxa"/>
          </w:tcPr>
          <w:p w:rsidR="00633E3A" w:rsidRPr="00633E3A" w:rsidRDefault="00D06886" w:rsidP="000C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4575,</w:t>
            </w:r>
            <w:r w:rsidR="000C596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4598,2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+287,1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+ 6,7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4534,5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4595,0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  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6119,8</w:t>
            </w:r>
          </w:p>
        </w:tc>
        <w:tc>
          <w:tcPr>
            <w:tcW w:w="1275" w:type="dxa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7883,2</w:t>
            </w:r>
          </w:p>
        </w:tc>
        <w:tc>
          <w:tcPr>
            <w:tcW w:w="993" w:type="dxa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6258,6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+ 138,8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+ 2,3</w:t>
            </w:r>
          </w:p>
        </w:tc>
        <w:tc>
          <w:tcPr>
            <w:tcW w:w="851" w:type="dxa"/>
            <w:shd w:val="clear" w:color="auto" w:fill="auto"/>
          </w:tcPr>
          <w:p w:rsid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4601,7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D0688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3958,3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6E37ED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486D7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10903,4</w:t>
            </w:r>
          </w:p>
        </w:tc>
        <w:tc>
          <w:tcPr>
            <w:tcW w:w="1275" w:type="dxa"/>
          </w:tcPr>
          <w:p w:rsidR="00633E3A" w:rsidRPr="00633E3A" w:rsidRDefault="00486D7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13615,4</w:t>
            </w:r>
          </w:p>
        </w:tc>
        <w:tc>
          <w:tcPr>
            <w:tcW w:w="993" w:type="dxa"/>
          </w:tcPr>
          <w:p w:rsidR="00633E3A" w:rsidRPr="00633E3A" w:rsidRDefault="006374A8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7294">
              <w:rPr>
                <w:sz w:val="22"/>
                <w:szCs w:val="22"/>
              </w:rPr>
              <w:t>1168,6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374A8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6D7294">
              <w:rPr>
                <w:sz w:val="22"/>
                <w:szCs w:val="22"/>
              </w:rPr>
              <w:t>265,2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+ 2,4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6D7294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9136,2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486D7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8553,3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695966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Дефицит</w:t>
            </w:r>
            <w:proofErr w:type="gramStart"/>
            <w:r w:rsidRPr="00633E3A">
              <w:rPr>
                <w:b/>
                <w:sz w:val="22"/>
                <w:szCs w:val="22"/>
              </w:rPr>
              <w:t xml:space="preserve"> (-)   </w:t>
            </w:r>
            <w:proofErr w:type="gramEnd"/>
          </w:p>
          <w:p w:rsidR="00633E3A" w:rsidRPr="00633E3A" w:rsidRDefault="00633E3A" w:rsidP="00695966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профицит</w:t>
            </w:r>
            <w:proofErr w:type="gramStart"/>
            <w:r w:rsidRPr="00633E3A">
              <w:rPr>
                <w:b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33E3A" w:rsidRPr="00633E3A" w:rsidRDefault="000751FF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-472,5</w:t>
            </w:r>
          </w:p>
        </w:tc>
        <w:tc>
          <w:tcPr>
            <w:tcW w:w="1275" w:type="dxa"/>
          </w:tcPr>
          <w:p w:rsidR="00633E3A" w:rsidRPr="00633E3A" w:rsidRDefault="005D1C58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51FF">
              <w:rPr>
                <w:sz w:val="22"/>
                <w:szCs w:val="22"/>
              </w:rPr>
              <w:t>1157,1</w:t>
            </w:r>
          </w:p>
        </w:tc>
        <w:tc>
          <w:tcPr>
            <w:tcW w:w="993" w:type="dxa"/>
          </w:tcPr>
          <w:p w:rsidR="00633E3A" w:rsidRPr="00633E3A" w:rsidRDefault="00633E3A" w:rsidP="006D7294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- </w:t>
            </w:r>
            <w:r w:rsidR="000751FF">
              <w:rPr>
                <w:sz w:val="22"/>
                <w:szCs w:val="22"/>
              </w:rPr>
              <w:t>3</w:t>
            </w:r>
            <w:r w:rsidR="006D7294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D7294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- 160</w:t>
            </w:r>
            <w:r w:rsidR="000751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0751FF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D7294"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5D1C58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 xml:space="preserve">Доля дефицита от объема доходов, </w:t>
            </w:r>
            <w:r w:rsidR="005D1C58">
              <w:rPr>
                <w:b/>
                <w:sz w:val="22"/>
                <w:szCs w:val="22"/>
              </w:rPr>
              <w:t>в соответствии со ст. 92,1 БК РФ</w:t>
            </w:r>
            <w:r w:rsidR="008B00D5">
              <w:rPr>
                <w:b/>
                <w:sz w:val="22"/>
                <w:szCs w:val="22"/>
              </w:rPr>
              <w:t>,</w:t>
            </w:r>
          </w:p>
          <w:p w:rsidR="00633E3A" w:rsidRPr="00633E3A" w:rsidRDefault="00633E3A" w:rsidP="00DF4ED1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в % (предельное значение 10%)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12,0*</w:t>
            </w:r>
          </w:p>
        </w:tc>
        <w:tc>
          <w:tcPr>
            <w:tcW w:w="1275" w:type="dxa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  <w:r w:rsidR="00633E3A" w:rsidRPr="00633E3A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6D729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0751FF" w:rsidP="006D7294">
            <w:pPr>
              <w:ind w:left="-108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- 4,</w:t>
            </w:r>
            <w:r w:rsidR="006D7294">
              <w:rPr>
                <w:sz w:val="22"/>
                <w:szCs w:val="22"/>
              </w:rPr>
              <w:t>5</w:t>
            </w:r>
            <w:r w:rsidR="005D1C58">
              <w:rPr>
                <w:sz w:val="22"/>
                <w:szCs w:val="22"/>
              </w:rPr>
              <w:t xml:space="preserve"> </w:t>
            </w:r>
            <w:proofErr w:type="spellStart"/>
            <w:r w:rsidR="00633E3A" w:rsidRPr="00633E3A">
              <w:rPr>
                <w:sz w:val="22"/>
                <w:szCs w:val="22"/>
              </w:rPr>
              <w:t>п.п</w:t>
            </w:r>
            <w:proofErr w:type="spellEnd"/>
            <w:r w:rsidR="00633E3A" w:rsidRPr="00633E3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6D7294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- 37</w:t>
            </w:r>
            <w:r w:rsidR="000751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5D1C58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A414D2">
            <w:pPr>
              <w:tabs>
                <w:tab w:val="left" w:pos="1701"/>
              </w:tabs>
              <w:ind w:right="-150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Предельный объем муниципального долга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3216,5</w:t>
            </w:r>
          </w:p>
        </w:tc>
        <w:tc>
          <w:tcPr>
            <w:tcW w:w="1275" w:type="dxa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2580,4</w:t>
            </w:r>
          </w:p>
        </w:tc>
        <w:tc>
          <w:tcPr>
            <w:tcW w:w="993" w:type="dxa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3636,9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+ 420,4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0751FF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+ 13,1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0751F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3530,4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9D70CF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0751F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,4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C11C72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Доля</w:t>
            </w:r>
            <w:r w:rsidR="000C596D">
              <w:rPr>
                <w:b/>
                <w:sz w:val="22"/>
                <w:szCs w:val="22"/>
              </w:rPr>
              <w:t xml:space="preserve"> предельного объема </w:t>
            </w:r>
            <w:r w:rsidR="000C596D">
              <w:rPr>
                <w:b/>
                <w:sz w:val="22"/>
                <w:szCs w:val="22"/>
              </w:rPr>
              <w:lastRenderedPageBreak/>
              <w:t>муниц</w:t>
            </w:r>
            <w:r w:rsidR="00CE70D7">
              <w:rPr>
                <w:b/>
                <w:sz w:val="22"/>
                <w:szCs w:val="22"/>
              </w:rPr>
              <w:t>и</w:t>
            </w:r>
            <w:r w:rsidR="000C596D">
              <w:rPr>
                <w:b/>
                <w:sz w:val="22"/>
                <w:szCs w:val="22"/>
              </w:rPr>
              <w:t>пального долга</w:t>
            </w:r>
            <w:r w:rsidRPr="00633E3A">
              <w:rPr>
                <w:b/>
                <w:sz w:val="22"/>
                <w:szCs w:val="22"/>
              </w:rPr>
              <w:t xml:space="preserve"> к </w:t>
            </w:r>
            <w:proofErr w:type="spellStart"/>
            <w:proofErr w:type="gramStart"/>
            <w:r w:rsidRPr="00633E3A">
              <w:rPr>
                <w:b/>
                <w:sz w:val="22"/>
                <w:szCs w:val="22"/>
              </w:rPr>
              <w:t>собствен-ным</w:t>
            </w:r>
            <w:proofErr w:type="spellEnd"/>
            <w:proofErr w:type="gramEnd"/>
            <w:r w:rsidRPr="00633E3A">
              <w:rPr>
                <w:b/>
                <w:sz w:val="22"/>
                <w:szCs w:val="22"/>
              </w:rPr>
              <w:t xml:space="preserve"> доходам за минусом доходов</w:t>
            </w:r>
          </w:p>
          <w:p w:rsidR="00633E3A" w:rsidRPr="00633E3A" w:rsidRDefault="00633E3A" w:rsidP="00C11C72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 xml:space="preserve"> по </w:t>
            </w:r>
            <w:proofErr w:type="spellStart"/>
            <w:r w:rsidRPr="00633E3A">
              <w:rPr>
                <w:b/>
                <w:sz w:val="22"/>
                <w:szCs w:val="22"/>
              </w:rPr>
              <w:t>дополнитель-ным</w:t>
            </w:r>
            <w:proofErr w:type="spellEnd"/>
            <w:r w:rsidRPr="00633E3A">
              <w:rPr>
                <w:b/>
                <w:sz w:val="22"/>
                <w:szCs w:val="22"/>
              </w:rPr>
              <w:t xml:space="preserve"> нормативам</w:t>
            </w:r>
            <w:r w:rsidR="008B00D5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8B00D5">
              <w:rPr>
                <w:b/>
                <w:sz w:val="22"/>
                <w:szCs w:val="22"/>
              </w:rPr>
              <w:t>в</w:t>
            </w:r>
            <w:proofErr w:type="gramEnd"/>
            <w:r w:rsidR="008B00D5">
              <w:rPr>
                <w:b/>
                <w:sz w:val="22"/>
                <w:szCs w:val="22"/>
              </w:rPr>
              <w:t xml:space="preserve"> %</w:t>
            </w:r>
            <w:r w:rsidR="005B0D59">
              <w:rPr>
                <w:b/>
                <w:sz w:val="22"/>
                <w:szCs w:val="22"/>
              </w:rPr>
              <w:t xml:space="preserve"> (не должна превы</w:t>
            </w:r>
            <w:r w:rsidRPr="00633E3A">
              <w:rPr>
                <w:b/>
                <w:sz w:val="22"/>
                <w:szCs w:val="22"/>
              </w:rPr>
              <w:t>шать 10</w:t>
            </w:r>
            <w:r w:rsidR="008B00D5">
              <w:rPr>
                <w:b/>
                <w:sz w:val="22"/>
                <w:szCs w:val="22"/>
              </w:rPr>
              <w:t>0</w:t>
            </w:r>
            <w:r w:rsidRPr="00633E3A">
              <w:rPr>
                <w:b/>
                <w:sz w:val="22"/>
                <w:szCs w:val="22"/>
              </w:rPr>
              <w:t xml:space="preserve"> %)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81,8</w:t>
            </w:r>
          </w:p>
        </w:tc>
        <w:tc>
          <w:tcPr>
            <w:tcW w:w="1275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+5,4 </w:t>
            </w:r>
            <w:proofErr w:type="spellStart"/>
            <w:r w:rsidR="009D70CF">
              <w:rPr>
                <w:sz w:val="22"/>
                <w:szCs w:val="22"/>
              </w:rPr>
              <w:t>п</w:t>
            </w:r>
            <w:r w:rsidR="00633E3A" w:rsidRPr="00633E3A">
              <w:rPr>
                <w:sz w:val="22"/>
                <w:szCs w:val="22"/>
              </w:rPr>
              <w:t>.п</w:t>
            </w:r>
            <w:proofErr w:type="spellEnd"/>
            <w:r w:rsidR="00633E3A" w:rsidRPr="00633E3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+ 6,6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3D5B90" w:rsidP="000C596D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</w:t>
            </w:r>
            <w:r w:rsidR="000C596D">
              <w:rPr>
                <w:sz w:val="22"/>
                <w:szCs w:val="22"/>
              </w:rPr>
              <w:t>3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DF4ED1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lastRenderedPageBreak/>
              <w:t>Расходы на обслуживание муниципального долга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275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</w:t>
            </w:r>
          </w:p>
        </w:tc>
        <w:tc>
          <w:tcPr>
            <w:tcW w:w="993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33E3A" w:rsidP="003D5B90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+</w:t>
            </w:r>
            <w:r w:rsidR="003D5B90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9D70CF" w:rsidP="003D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D5B90">
              <w:rPr>
                <w:sz w:val="22"/>
                <w:szCs w:val="22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190,5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3D5B90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200,6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4F046D">
            <w:pPr>
              <w:ind w:right="-155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Доля расходов на обслуживание муниципального долга</w:t>
            </w:r>
            <w:r w:rsidR="008B00D5">
              <w:rPr>
                <w:b/>
                <w:sz w:val="22"/>
                <w:szCs w:val="22"/>
              </w:rPr>
              <w:t>, в %</w:t>
            </w:r>
            <w:r w:rsidRPr="00633E3A">
              <w:rPr>
                <w:b/>
                <w:sz w:val="22"/>
                <w:szCs w:val="22"/>
              </w:rPr>
              <w:t xml:space="preserve"> (предельное значение 15 % расходов за исключением субвенций)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75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+ 1,1</w:t>
            </w:r>
            <w:r w:rsidR="00633E3A" w:rsidRPr="00633E3A">
              <w:rPr>
                <w:sz w:val="22"/>
                <w:szCs w:val="22"/>
              </w:rPr>
              <w:t>п.п.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9D70CF" w:rsidP="003D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D5B90">
              <w:rPr>
                <w:sz w:val="22"/>
                <w:szCs w:val="22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3D5B9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633E3A" w:rsidP="003D5B90">
            <w:pPr>
              <w:ind w:left="222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4,</w:t>
            </w:r>
            <w:r w:rsidR="003D5B90">
              <w:rPr>
                <w:sz w:val="22"/>
                <w:szCs w:val="22"/>
              </w:rPr>
              <w:t>4</w:t>
            </w:r>
          </w:p>
        </w:tc>
      </w:tr>
      <w:tr w:rsidR="00633E3A" w:rsidRPr="00633E3A" w:rsidTr="00EC5A74">
        <w:tc>
          <w:tcPr>
            <w:tcW w:w="2093" w:type="dxa"/>
            <w:shd w:val="clear" w:color="auto" w:fill="auto"/>
          </w:tcPr>
          <w:p w:rsidR="00633E3A" w:rsidRPr="00633E3A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 xml:space="preserve">Объем резервного фонда </w:t>
            </w:r>
            <w:proofErr w:type="spellStart"/>
            <w:proofErr w:type="gramStart"/>
            <w:r w:rsidRPr="00633E3A">
              <w:rPr>
                <w:b/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Pr="00633E3A">
              <w:rPr>
                <w:b/>
                <w:sz w:val="22"/>
                <w:szCs w:val="22"/>
              </w:rPr>
              <w:t xml:space="preserve"> г. Липецка (не более 3% общих расходов)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9D70C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33E3A" w:rsidRPr="00633E3A" w:rsidRDefault="009D70C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9D70C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633E3A" w:rsidP="00C57D99">
            <w:pPr>
              <w:ind w:left="222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8,0</w:t>
            </w:r>
          </w:p>
        </w:tc>
      </w:tr>
    </w:tbl>
    <w:p w:rsidR="00FC2231" w:rsidRPr="00E1607F" w:rsidRDefault="009810BD" w:rsidP="009810BD">
      <w:pPr>
        <w:suppressAutoHyphens/>
        <w:jc w:val="both"/>
        <w:rPr>
          <w:sz w:val="22"/>
          <w:szCs w:val="22"/>
        </w:rPr>
      </w:pPr>
      <w:r w:rsidRPr="00633E3A">
        <w:rPr>
          <w:sz w:val="28"/>
          <w:szCs w:val="28"/>
        </w:rPr>
        <w:tab/>
      </w:r>
      <w:r w:rsidRPr="00633E3A">
        <w:rPr>
          <w:sz w:val="22"/>
          <w:szCs w:val="22"/>
        </w:rPr>
        <w:t>* превышение предельного значения дефицита (10%) является допустимым в соответствии с п. 3 ст. 92.1 БК РФ, так как осуществлено в пределах снижения остатков</w:t>
      </w:r>
      <w:r w:rsidR="00FC2231" w:rsidRPr="00633E3A">
        <w:rPr>
          <w:sz w:val="22"/>
          <w:szCs w:val="22"/>
        </w:rPr>
        <w:t xml:space="preserve"> средств на счете </w:t>
      </w:r>
      <w:r w:rsidR="00FC2231" w:rsidRPr="00FC2231">
        <w:rPr>
          <w:sz w:val="22"/>
          <w:szCs w:val="22"/>
        </w:rPr>
        <w:t>бюджета.</w:t>
      </w:r>
    </w:p>
    <w:p w:rsidR="00E1607F" w:rsidRDefault="00704CE9" w:rsidP="0070211C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>Основные параметры б</w:t>
      </w:r>
      <w:r w:rsidR="00E1607F">
        <w:rPr>
          <w:i/>
          <w:color w:val="000000" w:themeColor="text1"/>
          <w:sz w:val="28"/>
          <w:szCs w:val="28"/>
        </w:rPr>
        <w:t xml:space="preserve">юджета города на 2019 год </w:t>
      </w:r>
      <w:r w:rsidR="00D04328">
        <w:rPr>
          <w:i/>
          <w:color w:val="000000" w:themeColor="text1"/>
          <w:sz w:val="28"/>
          <w:szCs w:val="28"/>
        </w:rPr>
        <w:t>выше</w:t>
      </w:r>
      <w:r w:rsidR="00E1607F">
        <w:rPr>
          <w:i/>
          <w:color w:val="000000" w:themeColor="text1"/>
          <w:sz w:val="28"/>
          <w:szCs w:val="28"/>
        </w:rPr>
        <w:t xml:space="preserve"> первоначально утвержде</w:t>
      </w:r>
      <w:r>
        <w:rPr>
          <w:i/>
          <w:color w:val="000000" w:themeColor="text1"/>
          <w:sz w:val="28"/>
          <w:szCs w:val="28"/>
        </w:rPr>
        <w:t>нной редакции б</w:t>
      </w:r>
      <w:r w:rsidR="00D04328">
        <w:rPr>
          <w:i/>
          <w:color w:val="000000" w:themeColor="text1"/>
          <w:sz w:val="28"/>
          <w:szCs w:val="28"/>
        </w:rPr>
        <w:t xml:space="preserve">юджета 2018 года </w:t>
      </w:r>
      <w:r w:rsidR="000C596D">
        <w:rPr>
          <w:i/>
          <w:color w:val="000000" w:themeColor="text1"/>
          <w:sz w:val="28"/>
          <w:szCs w:val="28"/>
        </w:rPr>
        <w:t xml:space="preserve">на </w:t>
      </w:r>
      <w:r w:rsidR="006D7294">
        <w:rPr>
          <w:i/>
          <w:color w:val="000000" w:themeColor="text1"/>
          <w:sz w:val="28"/>
          <w:szCs w:val="28"/>
        </w:rPr>
        <w:t>4</w:t>
      </w:r>
      <w:r w:rsidR="00E1607F">
        <w:rPr>
          <w:i/>
          <w:color w:val="000000" w:themeColor="text1"/>
          <w:sz w:val="28"/>
          <w:szCs w:val="28"/>
        </w:rPr>
        <w:t>,</w:t>
      </w:r>
      <w:r w:rsidR="006D7294">
        <w:rPr>
          <w:i/>
          <w:color w:val="000000" w:themeColor="text1"/>
          <w:sz w:val="28"/>
          <w:szCs w:val="28"/>
        </w:rPr>
        <w:t>1</w:t>
      </w:r>
      <w:r w:rsidR="00D04328">
        <w:rPr>
          <w:i/>
          <w:color w:val="000000" w:themeColor="text1"/>
          <w:sz w:val="28"/>
          <w:szCs w:val="28"/>
        </w:rPr>
        <w:t>% по доходам и</w:t>
      </w:r>
      <w:r w:rsidR="00E1607F">
        <w:rPr>
          <w:i/>
          <w:color w:val="000000" w:themeColor="text1"/>
          <w:sz w:val="28"/>
          <w:szCs w:val="28"/>
        </w:rPr>
        <w:t xml:space="preserve"> на </w:t>
      </w:r>
      <w:r w:rsidR="006D7294">
        <w:rPr>
          <w:i/>
          <w:color w:val="000000" w:themeColor="text1"/>
          <w:sz w:val="28"/>
          <w:szCs w:val="28"/>
        </w:rPr>
        <w:t>2</w:t>
      </w:r>
      <w:r w:rsidR="00D04328">
        <w:rPr>
          <w:i/>
          <w:color w:val="000000" w:themeColor="text1"/>
          <w:sz w:val="28"/>
          <w:szCs w:val="28"/>
        </w:rPr>
        <w:t>,4% по расходам</w:t>
      </w:r>
      <w:r w:rsidR="00E1607F">
        <w:rPr>
          <w:i/>
          <w:color w:val="000000" w:themeColor="text1"/>
          <w:sz w:val="28"/>
          <w:szCs w:val="28"/>
        </w:rPr>
        <w:t xml:space="preserve">, </w:t>
      </w:r>
      <w:r w:rsidR="006D7294">
        <w:rPr>
          <w:i/>
          <w:color w:val="000000" w:themeColor="text1"/>
          <w:sz w:val="28"/>
          <w:szCs w:val="28"/>
        </w:rPr>
        <w:t>но</w:t>
      </w:r>
      <w:r w:rsidR="00E1607F">
        <w:rPr>
          <w:i/>
          <w:color w:val="000000" w:themeColor="text1"/>
          <w:sz w:val="28"/>
          <w:szCs w:val="28"/>
        </w:rPr>
        <w:t xml:space="preserve"> в сравнении с ут</w:t>
      </w:r>
      <w:r w:rsidR="00D04328">
        <w:rPr>
          <w:i/>
          <w:color w:val="000000" w:themeColor="text1"/>
          <w:sz w:val="28"/>
          <w:szCs w:val="28"/>
        </w:rPr>
        <w:t>очненным</w:t>
      </w:r>
      <w:r>
        <w:rPr>
          <w:i/>
          <w:color w:val="000000" w:themeColor="text1"/>
          <w:sz w:val="28"/>
          <w:szCs w:val="28"/>
        </w:rPr>
        <w:t xml:space="preserve"> б</w:t>
      </w:r>
      <w:r w:rsidR="00E1607F">
        <w:rPr>
          <w:i/>
          <w:color w:val="000000" w:themeColor="text1"/>
          <w:sz w:val="28"/>
          <w:szCs w:val="28"/>
        </w:rPr>
        <w:t xml:space="preserve">юджетом 2018 года, доходы планируются на уровне </w:t>
      </w:r>
      <w:r w:rsidR="006D7294">
        <w:rPr>
          <w:i/>
          <w:color w:val="000000" w:themeColor="text1"/>
          <w:sz w:val="28"/>
          <w:szCs w:val="28"/>
        </w:rPr>
        <w:t>87,1</w:t>
      </w:r>
      <w:r w:rsidR="00E1607F">
        <w:rPr>
          <w:i/>
          <w:color w:val="000000" w:themeColor="text1"/>
          <w:sz w:val="28"/>
          <w:szCs w:val="28"/>
        </w:rPr>
        <w:t xml:space="preserve">%, а расходы на уровне </w:t>
      </w:r>
      <w:r w:rsidR="006D7294">
        <w:rPr>
          <w:i/>
          <w:color w:val="000000" w:themeColor="text1"/>
          <w:sz w:val="28"/>
          <w:szCs w:val="28"/>
        </w:rPr>
        <w:t>8</w:t>
      </w:r>
      <w:r w:rsidR="00E1607F">
        <w:rPr>
          <w:i/>
          <w:color w:val="000000" w:themeColor="text1"/>
          <w:sz w:val="28"/>
          <w:szCs w:val="28"/>
        </w:rPr>
        <w:t>2,</w:t>
      </w:r>
      <w:r w:rsidR="006D7294">
        <w:rPr>
          <w:i/>
          <w:color w:val="000000" w:themeColor="text1"/>
          <w:sz w:val="28"/>
          <w:szCs w:val="28"/>
        </w:rPr>
        <w:t>0</w:t>
      </w:r>
      <w:r w:rsidR="00E1607F">
        <w:rPr>
          <w:i/>
          <w:color w:val="000000" w:themeColor="text1"/>
          <w:sz w:val="28"/>
          <w:szCs w:val="28"/>
        </w:rPr>
        <w:t xml:space="preserve">%. В прогнозах на 2020 и 2021 годы наблюдается </w:t>
      </w:r>
      <w:r w:rsidR="00C01848">
        <w:rPr>
          <w:i/>
          <w:color w:val="000000" w:themeColor="text1"/>
          <w:sz w:val="28"/>
          <w:szCs w:val="28"/>
        </w:rPr>
        <w:t>снижение основных параметров бюджета.</w:t>
      </w:r>
      <w:proofErr w:type="gramEnd"/>
    </w:p>
    <w:p w:rsidR="00E1607F" w:rsidRPr="009F7E47" w:rsidRDefault="00422D94" w:rsidP="007C44B7">
      <w:pPr>
        <w:suppressAutoHyphens/>
        <w:ind w:firstLine="709"/>
        <w:jc w:val="both"/>
        <w:rPr>
          <w:sz w:val="28"/>
          <w:szCs w:val="28"/>
        </w:rPr>
      </w:pPr>
      <w:r w:rsidRPr="009F7E47">
        <w:rPr>
          <w:sz w:val="28"/>
          <w:szCs w:val="28"/>
        </w:rPr>
        <w:t>Дефицит бюджета на 201</w:t>
      </w:r>
      <w:r w:rsidR="00E1607F">
        <w:rPr>
          <w:sz w:val="28"/>
          <w:szCs w:val="28"/>
        </w:rPr>
        <w:t>9</w:t>
      </w:r>
      <w:r w:rsidRPr="009F7E47">
        <w:rPr>
          <w:sz w:val="28"/>
          <w:szCs w:val="28"/>
        </w:rPr>
        <w:t xml:space="preserve"> год планируется в объеме </w:t>
      </w:r>
      <w:r w:rsidR="00E1607F">
        <w:rPr>
          <w:sz w:val="28"/>
          <w:szCs w:val="28"/>
        </w:rPr>
        <w:t>3</w:t>
      </w:r>
      <w:r w:rsidR="006D7294">
        <w:rPr>
          <w:sz w:val="28"/>
          <w:szCs w:val="28"/>
        </w:rPr>
        <w:t>11</w:t>
      </w:r>
      <w:r w:rsidR="00E1607F">
        <w:rPr>
          <w:sz w:val="28"/>
          <w:szCs w:val="28"/>
        </w:rPr>
        <w:t>,</w:t>
      </w:r>
      <w:r w:rsidR="006D7294">
        <w:rPr>
          <w:sz w:val="28"/>
          <w:szCs w:val="28"/>
        </w:rPr>
        <w:t>8</w:t>
      </w:r>
      <w:r w:rsidRPr="009F7E47">
        <w:rPr>
          <w:sz w:val="28"/>
          <w:szCs w:val="28"/>
        </w:rPr>
        <w:t xml:space="preserve"> млн. руб. или </w:t>
      </w:r>
      <w:r w:rsidR="00E1607F">
        <w:rPr>
          <w:sz w:val="28"/>
          <w:szCs w:val="28"/>
        </w:rPr>
        <w:t>7,</w:t>
      </w:r>
      <w:r w:rsidR="006D7294">
        <w:rPr>
          <w:sz w:val="28"/>
          <w:szCs w:val="28"/>
        </w:rPr>
        <w:t>5</w:t>
      </w:r>
      <w:r w:rsidRPr="009F7E47">
        <w:rPr>
          <w:sz w:val="28"/>
          <w:szCs w:val="28"/>
        </w:rPr>
        <w:t>%</w:t>
      </w:r>
      <w:r w:rsidR="008C74F2" w:rsidRPr="009F7E47">
        <w:rPr>
          <w:sz w:val="28"/>
          <w:szCs w:val="28"/>
        </w:rPr>
        <w:t xml:space="preserve"> от общего объема собственных доходов без учета </w:t>
      </w:r>
      <w:r w:rsidR="0023198B" w:rsidRPr="009F7E47">
        <w:rPr>
          <w:sz w:val="28"/>
          <w:szCs w:val="28"/>
        </w:rPr>
        <w:t xml:space="preserve">поступлений по дополнительным нормативам отчислений, </w:t>
      </w:r>
      <w:r w:rsidR="00285C80" w:rsidRPr="009F7E47">
        <w:rPr>
          <w:sz w:val="28"/>
          <w:szCs w:val="28"/>
        </w:rPr>
        <w:t>что</w:t>
      </w:r>
      <w:r w:rsidR="00E1607F">
        <w:rPr>
          <w:sz w:val="28"/>
          <w:szCs w:val="28"/>
        </w:rPr>
        <w:t xml:space="preserve"> не</w:t>
      </w:r>
      <w:r w:rsidR="00285C80" w:rsidRPr="009F7E47">
        <w:rPr>
          <w:sz w:val="28"/>
          <w:szCs w:val="28"/>
        </w:rPr>
        <w:t xml:space="preserve"> превышает</w:t>
      </w:r>
      <w:r w:rsidR="0023198B" w:rsidRPr="009F7E47">
        <w:rPr>
          <w:sz w:val="28"/>
          <w:szCs w:val="28"/>
        </w:rPr>
        <w:t xml:space="preserve"> предельн</w:t>
      </w:r>
      <w:r w:rsidR="009F7E47" w:rsidRPr="009F7E47">
        <w:rPr>
          <w:sz w:val="28"/>
          <w:szCs w:val="28"/>
        </w:rPr>
        <w:t>ое</w:t>
      </w:r>
      <w:r w:rsidR="00A91419">
        <w:rPr>
          <w:sz w:val="28"/>
          <w:szCs w:val="28"/>
        </w:rPr>
        <w:t xml:space="preserve"> десятипроцентное</w:t>
      </w:r>
      <w:r w:rsidR="009F7E47" w:rsidRPr="009F7E47">
        <w:rPr>
          <w:sz w:val="28"/>
          <w:szCs w:val="28"/>
        </w:rPr>
        <w:t xml:space="preserve"> </w:t>
      </w:r>
      <w:r w:rsidR="00285C80" w:rsidRPr="009F7E47">
        <w:rPr>
          <w:sz w:val="28"/>
          <w:szCs w:val="28"/>
        </w:rPr>
        <w:t>значени</w:t>
      </w:r>
      <w:r w:rsidR="009F7E47" w:rsidRPr="009F7E47">
        <w:rPr>
          <w:sz w:val="28"/>
          <w:szCs w:val="28"/>
        </w:rPr>
        <w:t xml:space="preserve">е, </w:t>
      </w:r>
      <w:r w:rsidR="00E1607F">
        <w:rPr>
          <w:sz w:val="28"/>
          <w:szCs w:val="28"/>
        </w:rPr>
        <w:t>установленное</w:t>
      </w:r>
      <w:r w:rsidR="00285C80" w:rsidRPr="009F7E47">
        <w:rPr>
          <w:sz w:val="28"/>
          <w:szCs w:val="28"/>
        </w:rPr>
        <w:t xml:space="preserve"> ст. 92.</w:t>
      </w:r>
      <w:r w:rsidR="0023198B" w:rsidRPr="009F7E47">
        <w:rPr>
          <w:sz w:val="28"/>
          <w:szCs w:val="28"/>
        </w:rPr>
        <w:t>1 БК РФ.  На 20</w:t>
      </w:r>
      <w:r w:rsidR="00E1607F">
        <w:rPr>
          <w:sz w:val="28"/>
          <w:szCs w:val="28"/>
        </w:rPr>
        <w:t>20</w:t>
      </w:r>
      <w:r w:rsidR="0023198B" w:rsidRPr="009F7E47">
        <w:rPr>
          <w:sz w:val="28"/>
          <w:szCs w:val="28"/>
        </w:rPr>
        <w:t xml:space="preserve"> и 20</w:t>
      </w:r>
      <w:r w:rsidR="009F7E47" w:rsidRPr="009F7E47">
        <w:rPr>
          <w:sz w:val="28"/>
          <w:szCs w:val="28"/>
        </w:rPr>
        <w:t>2</w:t>
      </w:r>
      <w:r w:rsidR="00E1607F">
        <w:rPr>
          <w:sz w:val="28"/>
          <w:szCs w:val="28"/>
        </w:rPr>
        <w:t>1</w:t>
      </w:r>
      <w:r w:rsidR="0023198B" w:rsidRPr="009F7E47">
        <w:rPr>
          <w:sz w:val="28"/>
          <w:szCs w:val="28"/>
        </w:rPr>
        <w:t xml:space="preserve"> годы прогнозируется </w:t>
      </w:r>
      <w:r w:rsidR="009F7E47" w:rsidRPr="009F7E47">
        <w:rPr>
          <w:sz w:val="28"/>
          <w:szCs w:val="28"/>
        </w:rPr>
        <w:t>бездефицитный бюджет</w:t>
      </w:r>
      <w:r w:rsidR="0023198B" w:rsidRPr="009F7E47">
        <w:rPr>
          <w:sz w:val="28"/>
          <w:szCs w:val="28"/>
        </w:rPr>
        <w:t>.</w:t>
      </w:r>
    </w:p>
    <w:p w:rsidR="00063115" w:rsidRPr="007C44B7" w:rsidRDefault="00EC38CE" w:rsidP="0070211C">
      <w:pPr>
        <w:suppressAutoHyphens/>
        <w:ind w:firstLine="709"/>
        <w:jc w:val="both"/>
        <w:rPr>
          <w:sz w:val="28"/>
          <w:szCs w:val="28"/>
        </w:rPr>
      </w:pPr>
      <w:r w:rsidRPr="007C44B7">
        <w:rPr>
          <w:sz w:val="28"/>
          <w:szCs w:val="28"/>
        </w:rPr>
        <w:t>Источником погашения дефицита в 201</w:t>
      </w:r>
      <w:r w:rsidR="007C44B7" w:rsidRPr="007C44B7">
        <w:rPr>
          <w:sz w:val="28"/>
          <w:szCs w:val="28"/>
        </w:rPr>
        <w:t>9</w:t>
      </w:r>
      <w:r w:rsidRPr="007C44B7">
        <w:rPr>
          <w:sz w:val="28"/>
          <w:szCs w:val="28"/>
        </w:rPr>
        <w:t xml:space="preserve"> году</w:t>
      </w:r>
      <w:r w:rsidR="006374A8">
        <w:rPr>
          <w:sz w:val="28"/>
          <w:szCs w:val="28"/>
        </w:rPr>
        <w:t xml:space="preserve"> </w:t>
      </w:r>
      <w:r w:rsidRPr="007C44B7">
        <w:rPr>
          <w:sz w:val="28"/>
          <w:szCs w:val="28"/>
        </w:rPr>
        <w:t xml:space="preserve"> будут являться</w:t>
      </w:r>
      <w:r w:rsidR="009F7E47" w:rsidRPr="007C44B7">
        <w:rPr>
          <w:sz w:val="28"/>
          <w:szCs w:val="28"/>
        </w:rPr>
        <w:t xml:space="preserve"> </w:t>
      </w:r>
      <w:r w:rsidRPr="007C44B7">
        <w:rPr>
          <w:sz w:val="28"/>
          <w:szCs w:val="28"/>
        </w:rPr>
        <w:t>заемные средства</w:t>
      </w:r>
      <w:r w:rsidR="00A91419" w:rsidRPr="007C44B7">
        <w:rPr>
          <w:sz w:val="28"/>
          <w:szCs w:val="28"/>
        </w:rPr>
        <w:t xml:space="preserve"> (</w:t>
      </w:r>
      <w:r w:rsidR="007C44B7" w:rsidRPr="007C44B7">
        <w:rPr>
          <w:sz w:val="28"/>
          <w:szCs w:val="28"/>
        </w:rPr>
        <w:t>7</w:t>
      </w:r>
      <w:r w:rsidR="00CE70D7">
        <w:rPr>
          <w:sz w:val="28"/>
          <w:szCs w:val="28"/>
        </w:rPr>
        <w:t>8</w:t>
      </w:r>
      <w:r w:rsidR="007C44B7" w:rsidRPr="007C44B7">
        <w:rPr>
          <w:sz w:val="28"/>
          <w:szCs w:val="28"/>
        </w:rPr>
        <w:t>,1</w:t>
      </w:r>
      <w:r w:rsidR="009F7E47" w:rsidRPr="007C44B7">
        <w:rPr>
          <w:sz w:val="28"/>
          <w:szCs w:val="28"/>
        </w:rPr>
        <w:t>%)</w:t>
      </w:r>
      <w:r w:rsidR="00337AB1" w:rsidRPr="007C44B7">
        <w:rPr>
          <w:sz w:val="28"/>
          <w:szCs w:val="28"/>
        </w:rPr>
        <w:t>,</w:t>
      </w:r>
      <w:r w:rsidR="007C44B7" w:rsidRPr="007C44B7">
        <w:rPr>
          <w:sz w:val="28"/>
          <w:szCs w:val="28"/>
        </w:rPr>
        <w:t xml:space="preserve"> средства от продажи акций и иных форм участия в капитале, находящихся в собственности городского округа  (9,0%)</w:t>
      </w:r>
      <w:r w:rsidRPr="007C44B7">
        <w:rPr>
          <w:sz w:val="28"/>
          <w:szCs w:val="28"/>
        </w:rPr>
        <w:t xml:space="preserve"> </w:t>
      </w:r>
      <w:r w:rsidR="009F7E47" w:rsidRPr="007C44B7">
        <w:rPr>
          <w:sz w:val="28"/>
          <w:szCs w:val="28"/>
        </w:rPr>
        <w:t xml:space="preserve">и </w:t>
      </w:r>
      <w:r w:rsidRPr="007C44B7">
        <w:rPr>
          <w:sz w:val="28"/>
          <w:szCs w:val="28"/>
        </w:rPr>
        <w:t xml:space="preserve"> остатки средств на счете бюджета</w:t>
      </w:r>
      <w:r w:rsidR="00A91419" w:rsidRPr="007C44B7">
        <w:rPr>
          <w:sz w:val="28"/>
          <w:szCs w:val="28"/>
        </w:rPr>
        <w:t xml:space="preserve"> (</w:t>
      </w:r>
      <w:r w:rsidR="007C44B7" w:rsidRPr="007C44B7">
        <w:rPr>
          <w:sz w:val="28"/>
          <w:szCs w:val="28"/>
        </w:rPr>
        <w:t>40,1</w:t>
      </w:r>
      <w:r w:rsidR="009F7E47" w:rsidRPr="007C44B7">
        <w:rPr>
          <w:sz w:val="28"/>
          <w:szCs w:val="28"/>
        </w:rPr>
        <w:t xml:space="preserve"> м</w:t>
      </w:r>
      <w:r w:rsidR="00A91419" w:rsidRPr="007C44B7">
        <w:rPr>
          <w:sz w:val="28"/>
          <w:szCs w:val="28"/>
        </w:rPr>
        <w:t xml:space="preserve">лн. руб. – </w:t>
      </w:r>
      <w:r w:rsidR="007C44B7" w:rsidRPr="007C44B7">
        <w:rPr>
          <w:sz w:val="28"/>
          <w:szCs w:val="28"/>
        </w:rPr>
        <w:t>12,9</w:t>
      </w:r>
      <w:r w:rsidR="009F7E47" w:rsidRPr="007C44B7">
        <w:rPr>
          <w:sz w:val="28"/>
          <w:szCs w:val="28"/>
        </w:rPr>
        <w:t>%)</w:t>
      </w:r>
      <w:r w:rsidRPr="007C44B7">
        <w:rPr>
          <w:sz w:val="28"/>
          <w:szCs w:val="28"/>
        </w:rPr>
        <w:t>.</w:t>
      </w:r>
    </w:p>
    <w:p w:rsidR="007F3084" w:rsidRPr="007C44B7" w:rsidRDefault="0091350F" w:rsidP="0070211C">
      <w:pPr>
        <w:suppressAutoHyphens/>
        <w:ind w:firstLine="709"/>
        <w:jc w:val="both"/>
        <w:rPr>
          <w:sz w:val="28"/>
          <w:szCs w:val="28"/>
        </w:rPr>
      </w:pPr>
      <w:r w:rsidRPr="007C44B7">
        <w:rPr>
          <w:sz w:val="28"/>
          <w:szCs w:val="28"/>
        </w:rPr>
        <w:t>З</w:t>
      </w:r>
      <w:r w:rsidR="007F3084" w:rsidRPr="007C44B7">
        <w:rPr>
          <w:sz w:val="28"/>
          <w:szCs w:val="28"/>
        </w:rPr>
        <w:t>начения объема муниципального долга и расходов на обслуживание муниципального долга не превышают предельных значений</w:t>
      </w:r>
      <w:r w:rsidR="00D400D7">
        <w:rPr>
          <w:sz w:val="28"/>
          <w:szCs w:val="28"/>
        </w:rPr>
        <w:t>,</w:t>
      </w:r>
      <w:r w:rsidR="007F3084" w:rsidRPr="007C44B7">
        <w:rPr>
          <w:sz w:val="28"/>
          <w:szCs w:val="28"/>
        </w:rPr>
        <w:t xml:space="preserve"> установленных ст. 107 и ст. 111 Бюджетного кодекса РФ.</w:t>
      </w:r>
    </w:p>
    <w:p w:rsidR="00EC38CE" w:rsidRPr="007C44B7" w:rsidRDefault="0014692C" w:rsidP="0070211C">
      <w:pPr>
        <w:suppressAutoHyphens/>
        <w:ind w:firstLine="709"/>
        <w:jc w:val="both"/>
        <w:rPr>
          <w:sz w:val="28"/>
          <w:szCs w:val="28"/>
        </w:rPr>
      </w:pPr>
      <w:r w:rsidRPr="007C44B7">
        <w:rPr>
          <w:sz w:val="28"/>
          <w:szCs w:val="28"/>
        </w:rPr>
        <w:t>Текстовая часть и структура представленного проекта бюджета в целом соответствует требованиям бюджетного законодательства.</w:t>
      </w:r>
    </w:p>
    <w:p w:rsidR="002A7F9D" w:rsidRPr="007C44B7" w:rsidRDefault="0075247E" w:rsidP="007F3084">
      <w:pPr>
        <w:suppressAutoHyphens/>
        <w:ind w:firstLine="709"/>
        <w:jc w:val="both"/>
        <w:rPr>
          <w:sz w:val="28"/>
          <w:szCs w:val="28"/>
        </w:rPr>
      </w:pPr>
      <w:r w:rsidRPr="007C44B7">
        <w:rPr>
          <w:sz w:val="28"/>
          <w:szCs w:val="28"/>
        </w:rPr>
        <w:t xml:space="preserve">В соответствии с пунктом 1 статьи 4 проекта суммарный объем бюджетных ассигнований на исполнение публичных нормативных обязательств </w:t>
      </w:r>
      <w:r w:rsidR="000B7EB0">
        <w:rPr>
          <w:sz w:val="28"/>
          <w:szCs w:val="28"/>
        </w:rPr>
        <w:t>запланирован</w:t>
      </w:r>
      <w:r w:rsidRPr="007C44B7">
        <w:rPr>
          <w:sz w:val="28"/>
          <w:szCs w:val="28"/>
        </w:rPr>
        <w:t xml:space="preserve"> в сумме </w:t>
      </w:r>
      <w:r w:rsidR="007C44B7" w:rsidRPr="007C44B7">
        <w:rPr>
          <w:sz w:val="28"/>
          <w:szCs w:val="28"/>
        </w:rPr>
        <w:t>3454,0</w:t>
      </w:r>
      <w:r w:rsidRPr="007C44B7">
        <w:rPr>
          <w:sz w:val="28"/>
          <w:szCs w:val="28"/>
        </w:rPr>
        <w:t xml:space="preserve"> тыс. руб</w:t>
      </w:r>
      <w:r w:rsidR="000B7EB0">
        <w:rPr>
          <w:sz w:val="28"/>
          <w:szCs w:val="28"/>
        </w:rPr>
        <w:t>.</w:t>
      </w:r>
      <w:r w:rsidRPr="007C44B7">
        <w:rPr>
          <w:sz w:val="28"/>
          <w:szCs w:val="28"/>
        </w:rPr>
        <w:t xml:space="preserve"> ежегодно и </w:t>
      </w:r>
      <w:r w:rsidR="00320825" w:rsidRPr="007C44B7">
        <w:rPr>
          <w:sz w:val="28"/>
          <w:szCs w:val="28"/>
        </w:rPr>
        <w:lastRenderedPageBreak/>
        <w:t xml:space="preserve">предусматривает обязательства </w:t>
      </w:r>
      <w:r w:rsidR="007F3084" w:rsidRPr="007C44B7">
        <w:rPr>
          <w:sz w:val="28"/>
          <w:szCs w:val="28"/>
        </w:rPr>
        <w:t>на реализацию</w:t>
      </w:r>
      <w:r w:rsidR="00320825" w:rsidRPr="007C44B7">
        <w:rPr>
          <w:sz w:val="28"/>
          <w:szCs w:val="28"/>
        </w:rPr>
        <w:t xml:space="preserve"> Положения о зва</w:t>
      </w:r>
      <w:r w:rsidR="007F3084" w:rsidRPr="007C44B7">
        <w:rPr>
          <w:sz w:val="28"/>
          <w:szCs w:val="28"/>
        </w:rPr>
        <w:t>нии «Почетный</w:t>
      </w:r>
      <w:r w:rsidR="00320825" w:rsidRPr="007C44B7">
        <w:rPr>
          <w:sz w:val="28"/>
          <w:szCs w:val="28"/>
        </w:rPr>
        <w:t xml:space="preserve"> граждан</w:t>
      </w:r>
      <w:r w:rsidR="007F3084" w:rsidRPr="007C44B7">
        <w:rPr>
          <w:sz w:val="28"/>
          <w:szCs w:val="28"/>
        </w:rPr>
        <w:t>ин города Липецка»</w:t>
      </w:r>
      <w:r w:rsidR="002A7F9D" w:rsidRPr="007C44B7">
        <w:rPr>
          <w:sz w:val="28"/>
          <w:szCs w:val="28"/>
        </w:rPr>
        <w:t>. С</w:t>
      </w:r>
      <w:r w:rsidR="00320825" w:rsidRPr="007C44B7">
        <w:rPr>
          <w:sz w:val="28"/>
          <w:szCs w:val="28"/>
        </w:rPr>
        <w:t>огласно приложению № 12 к пояснительной записке</w:t>
      </w:r>
      <w:r w:rsidR="00F101A8">
        <w:rPr>
          <w:sz w:val="28"/>
          <w:szCs w:val="28"/>
        </w:rPr>
        <w:t>,</w:t>
      </w:r>
      <w:r w:rsidR="00320825" w:rsidRPr="007C44B7">
        <w:rPr>
          <w:sz w:val="28"/>
          <w:szCs w:val="28"/>
        </w:rPr>
        <w:t xml:space="preserve"> </w:t>
      </w:r>
      <w:r w:rsidR="009F7E47" w:rsidRPr="007C44B7">
        <w:rPr>
          <w:sz w:val="28"/>
          <w:szCs w:val="28"/>
        </w:rPr>
        <w:t>объем обязательств рассчитан со второго полугодия 201</w:t>
      </w:r>
      <w:r w:rsidR="007C44B7" w:rsidRPr="007C44B7">
        <w:rPr>
          <w:sz w:val="28"/>
          <w:szCs w:val="28"/>
        </w:rPr>
        <w:t>9</w:t>
      </w:r>
      <w:r w:rsidR="009F7E47" w:rsidRPr="007C44B7">
        <w:rPr>
          <w:sz w:val="28"/>
          <w:szCs w:val="28"/>
        </w:rPr>
        <w:t xml:space="preserve"> года из расчета выплат </w:t>
      </w:r>
      <w:r w:rsidR="00F101A8">
        <w:rPr>
          <w:sz w:val="28"/>
          <w:szCs w:val="28"/>
        </w:rPr>
        <w:t>восемнадцати</w:t>
      </w:r>
      <w:r w:rsidR="00B373D7" w:rsidRPr="007C44B7">
        <w:rPr>
          <w:sz w:val="28"/>
          <w:szCs w:val="28"/>
        </w:rPr>
        <w:t xml:space="preserve"> </w:t>
      </w:r>
      <w:r w:rsidR="0091350F" w:rsidRPr="007C44B7">
        <w:rPr>
          <w:sz w:val="28"/>
          <w:szCs w:val="28"/>
        </w:rPr>
        <w:t>П</w:t>
      </w:r>
      <w:r w:rsidR="002A7F9D" w:rsidRPr="007C44B7">
        <w:rPr>
          <w:sz w:val="28"/>
          <w:szCs w:val="28"/>
        </w:rPr>
        <w:t>очетным гражданам</w:t>
      </w:r>
      <w:r w:rsidR="009F7E47" w:rsidRPr="007C44B7">
        <w:rPr>
          <w:sz w:val="28"/>
          <w:szCs w:val="28"/>
        </w:rPr>
        <w:t xml:space="preserve"> города</w:t>
      </w:r>
      <w:r w:rsidR="00D04328">
        <w:rPr>
          <w:sz w:val="28"/>
          <w:szCs w:val="28"/>
        </w:rPr>
        <w:t xml:space="preserve">, т.е. с увеличением на </w:t>
      </w:r>
      <w:r w:rsidR="00F101A8">
        <w:rPr>
          <w:sz w:val="28"/>
          <w:szCs w:val="28"/>
        </w:rPr>
        <w:t>две выплаты по сравнению с текущ</w:t>
      </w:r>
      <w:r w:rsidR="00DE1A72">
        <w:rPr>
          <w:sz w:val="28"/>
          <w:szCs w:val="28"/>
        </w:rPr>
        <w:t>и</w:t>
      </w:r>
      <w:r w:rsidR="00F101A8">
        <w:rPr>
          <w:sz w:val="28"/>
          <w:szCs w:val="28"/>
        </w:rPr>
        <w:t>м годом</w:t>
      </w:r>
      <w:r w:rsidR="00D04328">
        <w:rPr>
          <w:sz w:val="28"/>
          <w:szCs w:val="28"/>
        </w:rPr>
        <w:t>.</w:t>
      </w:r>
      <w:r w:rsidR="00B373D7" w:rsidRPr="007C44B7">
        <w:rPr>
          <w:sz w:val="28"/>
          <w:szCs w:val="28"/>
        </w:rPr>
        <w:t xml:space="preserve"> </w:t>
      </w:r>
    </w:p>
    <w:p w:rsidR="0070211C" w:rsidRPr="007C44B7" w:rsidRDefault="002A7F9D" w:rsidP="004C11E2">
      <w:pPr>
        <w:suppressAutoHyphens/>
        <w:jc w:val="both"/>
        <w:rPr>
          <w:sz w:val="28"/>
          <w:szCs w:val="28"/>
        </w:rPr>
      </w:pPr>
      <w:r w:rsidRPr="00E1607F">
        <w:rPr>
          <w:color w:val="FF0000"/>
          <w:sz w:val="28"/>
          <w:szCs w:val="28"/>
        </w:rPr>
        <w:tab/>
      </w:r>
      <w:r w:rsidRPr="007C44B7">
        <w:rPr>
          <w:sz w:val="28"/>
          <w:szCs w:val="28"/>
        </w:rPr>
        <w:t xml:space="preserve">В целях финансового обеспечения непредвиденных расходов предусматривается </w:t>
      </w:r>
      <w:r w:rsidRPr="00DD68EC">
        <w:rPr>
          <w:b/>
          <w:i/>
          <w:sz w:val="28"/>
          <w:szCs w:val="28"/>
        </w:rPr>
        <w:t>резервный фонд администрации города</w:t>
      </w:r>
      <w:r w:rsidRPr="007C44B7">
        <w:rPr>
          <w:sz w:val="28"/>
          <w:szCs w:val="28"/>
        </w:rPr>
        <w:t xml:space="preserve"> в объеме 10,0 млн. руб.</w:t>
      </w:r>
      <w:r w:rsidR="00EA65A5" w:rsidRPr="007C44B7">
        <w:rPr>
          <w:sz w:val="28"/>
          <w:szCs w:val="28"/>
        </w:rPr>
        <w:t xml:space="preserve"> в 201</w:t>
      </w:r>
      <w:r w:rsidR="007C44B7" w:rsidRPr="007C44B7">
        <w:rPr>
          <w:sz w:val="28"/>
          <w:szCs w:val="28"/>
        </w:rPr>
        <w:t>9</w:t>
      </w:r>
      <w:r w:rsidR="00EA65A5" w:rsidRPr="007C44B7">
        <w:rPr>
          <w:sz w:val="28"/>
          <w:szCs w:val="28"/>
        </w:rPr>
        <w:t xml:space="preserve"> году и по 8,0 млн. руб. в 20</w:t>
      </w:r>
      <w:r w:rsidR="007C44B7" w:rsidRPr="007C44B7">
        <w:rPr>
          <w:sz w:val="28"/>
          <w:szCs w:val="28"/>
        </w:rPr>
        <w:t xml:space="preserve">20 </w:t>
      </w:r>
      <w:r w:rsidR="00EA65A5" w:rsidRPr="007C44B7">
        <w:rPr>
          <w:sz w:val="28"/>
          <w:szCs w:val="28"/>
        </w:rPr>
        <w:t>и 20</w:t>
      </w:r>
      <w:r w:rsidR="009F7E47" w:rsidRPr="007C44B7">
        <w:rPr>
          <w:sz w:val="28"/>
          <w:szCs w:val="28"/>
        </w:rPr>
        <w:t>2</w:t>
      </w:r>
      <w:r w:rsidR="007C44B7" w:rsidRPr="007C44B7">
        <w:rPr>
          <w:sz w:val="28"/>
          <w:szCs w:val="28"/>
        </w:rPr>
        <w:t>1</w:t>
      </w:r>
      <w:r w:rsidR="00EA65A5" w:rsidRPr="007C44B7">
        <w:rPr>
          <w:sz w:val="28"/>
          <w:szCs w:val="28"/>
        </w:rPr>
        <w:t xml:space="preserve"> годах. Объем резервного фонда соответствует предельным ограничениям, предусмотренным ст. 81 БК РФ.</w:t>
      </w:r>
    </w:p>
    <w:p w:rsidR="00970E20" w:rsidRPr="005D5232" w:rsidRDefault="00EA65A5" w:rsidP="00970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232">
        <w:rPr>
          <w:sz w:val="28"/>
          <w:szCs w:val="28"/>
        </w:rPr>
        <w:tab/>
      </w:r>
      <w:proofErr w:type="gramStart"/>
      <w:r w:rsidR="00970E20" w:rsidRPr="005D5232">
        <w:rPr>
          <w:sz w:val="28"/>
          <w:szCs w:val="28"/>
        </w:rPr>
        <w:t>Статьей 7 проекта бюджета на 201</w:t>
      </w:r>
      <w:r w:rsidR="007C44B7" w:rsidRPr="005D5232">
        <w:rPr>
          <w:sz w:val="28"/>
          <w:szCs w:val="28"/>
        </w:rPr>
        <w:t>9</w:t>
      </w:r>
      <w:r w:rsidR="00970E20" w:rsidRPr="005D5232">
        <w:rPr>
          <w:sz w:val="28"/>
          <w:szCs w:val="28"/>
        </w:rPr>
        <w:t xml:space="preserve"> год</w:t>
      </w:r>
      <w:r w:rsidR="007C44B7" w:rsidRPr="005D5232">
        <w:rPr>
          <w:sz w:val="28"/>
          <w:szCs w:val="28"/>
        </w:rPr>
        <w:t xml:space="preserve"> в соответствии со статьями 78 и 78.1 БК РФ</w:t>
      </w:r>
      <w:r w:rsidR="00970E20" w:rsidRPr="005D5232">
        <w:rPr>
          <w:sz w:val="28"/>
          <w:szCs w:val="28"/>
        </w:rPr>
        <w:t xml:space="preserve"> определен объем  </w:t>
      </w:r>
      <w:r w:rsidR="00970E20" w:rsidRPr="00DD68EC">
        <w:rPr>
          <w:b/>
          <w:i/>
          <w:sz w:val="28"/>
          <w:szCs w:val="28"/>
        </w:rPr>
        <w:t>субсидий юридическим лицам</w:t>
      </w:r>
      <w:r w:rsidR="00970E20" w:rsidRPr="005D5232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муниципальными учреждениями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(далее - субсидии) из</w:t>
      </w:r>
      <w:proofErr w:type="gramEnd"/>
      <w:r w:rsidR="00970E20" w:rsidRPr="005D5232">
        <w:rPr>
          <w:sz w:val="28"/>
          <w:szCs w:val="28"/>
        </w:rPr>
        <w:t xml:space="preserve"> бюджета города Липецка в сумме </w:t>
      </w:r>
      <w:r w:rsidR="007C44B7" w:rsidRPr="005D5232">
        <w:rPr>
          <w:sz w:val="28"/>
          <w:szCs w:val="28"/>
        </w:rPr>
        <w:t>320,0</w:t>
      </w:r>
      <w:r w:rsidR="00970E20" w:rsidRPr="005D5232">
        <w:rPr>
          <w:sz w:val="28"/>
          <w:szCs w:val="28"/>
        </w:rPr>
        <w:t xml:space="preserve"> млн. руб., что на </w:t>
      </w:r>
      <w:r w:rsidR="007C44B7" w:rsidRPr="005D5232">
        <w:rPr>
          <w:sz w:val="28"/>
          <w:szCs w:val="28"/>
        </w:rPr>
        <w:t>369,8</w:t>
      </w:r>
      <w:r w:rsidR="00970E20" w:rsidRPr="005D5232">
        <w:rPr>
          <w:sz w:val="28"/>
          <w:szCs w:val="28"/>
        </w:rPr>
        <w:t xml:space="preserve"> млн. руб. (или </w:t>
      </w:r>
      <w:r w:rsidR="007C44B7" w:rsidRPr="005D5232">
        <w:rPr>
          <w:sz w:val="28"/>
          <w:szCs w:val="28"/>
        </w:rPr>
        <w:t>в 2,2 раза</w:t>
      </w:r>
      <w:r w:rsidR="00970E20" w:rsidRPr="005D5232">
        <w:rPr>
          <w:sz w:val="28"/>
          <w:szCs w:val="28"/>
        </w:rPr>
        <w:t>) меньше уточненного бюджета 201</w:t>
      </w:r>
      <w:r w:rsidR="007C44B7" w:rsidRPr="005D5232">
        <w:rPr>
          <w:sz w:val="28"/>
          <w:szCs w:val="28"/>
        </w:rPr>
        <w:t>8</w:t>
      </w:r>
      <w:r w:rsidR="00970E20" w:rsidRPr="005D5232">
        <w:rPr>
          <w:sz w:val="28"/>
          <w:szCs w:val="28"/>
        </w:rPr>
        <w:t xml:space="preserve"> года. </w:t>
      </w:r>
    </w:p>
    <w:p w:rsidR="00970E20" w:rsidRPr="00EA6768" w:rsidRDefault="00970E20" w:rsidP="00970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768">
        <w:rPr>
          <w:sz w:val="28"/>
          <w:szCs w:val="28"/>
        </w:rPr>
        <w:t>На 201</w:t>
      </w:r>
      <w:r w:rsidR="005D5232" w:rsidRPr="00EA6768">
        <w:rPr>
          <w:sz w:val="28"/>
          <w:szCs w:val="28"/>
        </w:rPr>
        <w:t>9</w:t>
      </w:r>
      <w:r w:rsidRPr="00EA6768">
        <w:rPr>
          <w:sz w:val="28"/>
          <w:szCs w:val="28"/>
        </w:rPr>
        <w:t xml:space="preserve"> год запланировано предоставление 1</w:t>
      </w:r>
      <w:r w:rsidR="005D5232" w:rsidRPr="00EA6768">
        <w:rPr>
          <w:sz w:val="28"/>
          <w:szCs w:val="28"/>
        </w:rPr>
        <w:t>3</w:t>
      </w:r>
      <w:r w:rsidRPr="00EA6768">
        <w:rPr>
          <w:sz w:val="28"/>
          <w:szCs w:val="28"/>
        </w:rPr>
        <w:t xml:space="preserve"> видов субсидий</w:t>
      </w:r>
      <w:r w:rsidR="005D5232" w:rsidRPr="00EA6768">
        <w:rPr>
          <w:sz w:val="28"/>
          <w:szCs w:val="28"/>
        </w:rPr>
        <w:t>, что по</w:t>
      </w:r>
      <w:r w:rsidRPr="00EA6768">
        <w:rPr>
          <w:sz w:val="28"/>
          <w:szCs w:val="28"/>
        </w:rPr>
        <w:t xml:space="preserve"> сравнению с 201</w:t>
      </w:r>
      <w:r w:rsidR="005D5232" w:rsidRPr="00EA6768">
        <w:rPr>
          <w:sz w:val="28"/>
          <w:szCs w:val="28"/>
        </w:rPr>
        <w:t>8</w:t>
      </w:r>
      <w:r w:rsidRPr="00EA6768">
        <w:rPr>
          <w:sz w:val="28"/>
          <w:szCs w:val="28"/>
        </w:rPr>
        <w:t xml:space="preserve"> годом </w:t>
      </w:r>
      <w:r w:rsidR="005D5232" w:rsidRPr="00EA6768">
        <w:rPr>
          <w:sz w:val="28"/>
          <w:szCs w:val="28"/>
        </w:rPr>
        <w:t>меньше на 3</w:t>
      </w:r>
      <w:r w:rsidR="00EA6768" w:rsidRPr="00EA6768">
        <w:rPr>
          <w:sz w:val="28"/>
          <w:szCs w:val="28"/>
        </w:rPr>
        <w:t xml:space="preserve"> субсидии.</w:t>
      </w:r>
    </w:p>
    <w:p w:rsidR="00970E20" w:rsidRDefault="00EA6768" w:rsidP="00970E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A6768">
        <w:rPr>
          <w:bCs/>
          <w:sz w:val="28"/>
          <w:szCs w:val="28"/>
        </w:rPr>
        <w:t>Исключен</w:t>
      </w:r>
      <w:r w:rsidR="00F101A8">
        <w:rPr>
          <w:bCs/>
          <w:sz w:val="28"/>
          <w:szCs w:val="28"/>
        </w:rPr>
        <w:t>а</w:t>
      </w:r>
      <w:r w:rsidR="00970E20" w:rsidRPr="00EA6768">
        <w:rPr>
          <w:sz w:val="28"/>
          <w:szCs w:val="28"/>
        </w:rPr>
        <w:t xml:space="preserve"> субсидия </w:t>
      </w:r>
      <w:r w:rsidR="00970E20" w:rsidRPr="00EA6768">
        <w:rPr>
          <w:rFonts w:eastAsiaTheme="minorHAnsi"/>
          <w:bCs/>
          <w:sz w:val="28"/>
          <w:szCs w:val="28"/>
          <w:lang w:eastAsia="en-US"/>
        </w:rPr>
        <w:t xml:space="preserve"> на возмещение части затрат, связанных  с приобретением подвижного состава для осуществления перевозок пассажиров автомобильным и городским наземным электрическим транспортом  по муниципальным маршрутам регулярных перевозок по регулируемым тарифам в городе Липецке</w:t>
      </w:r>
      <w:r w:rsidR="0064717F">
        <w:rPr>
          <w:rFonts w:eastAsiaTheme="minorHAnsi"/>
          <w:bCs/>
          <w:sz w:val="28"/>
          <w:szCs w:val="28"/>
          <w:lang w:eastAsia="en-US"/>
        </w:rPr>
        <w:t>.</w:t>
      </w:r>
    </w:p>
    <w:p w:rsidR="00EA6768" w:rsidRDefault="0064717F" w:rsidP="00F101A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EA6768">
        <w:rPr>
          <w:rFonts w:eastAsiaTheme="minorHAnsi"/>
          <w:bCs/>
          <w:sz w:val="28"/>
          <w:szCs w:val="28"/>
          <w:lang w:eastAsia="en-US"/>
        </w:rPr>
        <w:t>убсиди</w:t>
      </w:r>
      <w:r w:rsidR="00F101A8">
        <w:rPr>
          <w:rFonts w:eastAsiaTheme="minorHAnsi"/>
          <w:bCs/>
          <w:sz w:val="28"/>
          <w:szCs w:val="28"/>
          <w:lang w:eastAsia="en-US"/>
        </w:rPr>
        <w:t>и</w:t>
      </w:r>
      <w:r w:rsidR="00EA6768">
        <w:rPr>
          <w:rFonts w:eastAsiaTheme="minorHAnsi"/>
          <w:bCs/>
          <w:sz w:val="28"/>
          <w:szCs w:val="28"/>
          <w:lang w:eastAsia="en-US"/>
        </w:rPr>
        <w:t xml:space="preserve"> на возмещение затрат, связанных с использованием технических средств организации </w:t>
      </w:r>
      <w:r w:rsidR="00F101A8">
        <w:rPr>
          <w:rFonts w:eastAsiaTheme="minorHAnsi"/>
          <w:bCs/>
          <w:sz w:val="28"/>
          <w:szCs w:val="28"/>
          <w:lang w:eastAsia="en-US"/>
        </w:rPr>
        <w:t xml:space="preserve">дорожного движения (светофоров) и </w:t>
      </w:r>
      <w:r w:rsidR="00EA6768">
        <w:rPr>
          <w:rFonts w:eastAsiaTheme="minorHAnsi"/>
          <w:bCs/>
          <w:sz w:val="28"/>
          <w:szCs w:val="28"/>
          <w:lang w:eastAsia="en-US"/>
        </w:rPr>
        <w:t>реализацией полномочий города Липецка в сфере освещения улиц</w:t>
      </w:r>
      <w:r w:rsidR="00406A85">
        <w:rPr>
          <w:rFonts w:eastAsiaTheme="minorHAnsi"/>
          <w:bCs/>
          <w:sz w:val="28"/>
          <w:szCs w:val="28"/>
          <w:lang w:eastAsia="en-US"/>
        </w:rPr>
        <w:t xml:space="preserve"> в сумме</w:t>
      </w:r>
      <w:r w:rsidR="00406A85" w:rsidRPr="00406A85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64717F">
        <w:rPr>
          <w:rFonts w:eastAsiaTheme="minorHAnsi"/>
          <w:bCs/>
          <w:sz w:val="28"/>
          <w:szCs w:val="28"/>
          <w:lang w:eastAsia="en-US"/>
        </w:rPr>
        <w:t xml:space="preserve">140,7 млн. руб. </w:t>
      </w:r>
      <w:r w:rsidR="000C0B5D" w:rsidRPr="000C0B5D">
        <w:rPr>
          <w:rFonts w:eastAsiaTheme="minorHAnsi"/>
          <w:bCs/>
          <w:sz w:val="28"/>
          <w:szCs w:val="28"/>
          <w:lang w:eastAsia="en-US"/>
        </w:rPr>
        <w:t>буд</w:t>
      </w:r>
      <w:r w:rsidR="00F51629">
        <w:rPr>
          <w:rFonts w:eastAsiaTheme="minorHAnsi"/>
          <w:bCs/>
          <w:sz w:val="28"/>
          <w:szCs w:val="28"/>
          <w:lang w:eastAsia="en-US"/>
        </w:rPr>
        <w:t>у</w:t>
      </w:r>
      <w:r w:rsidR="000C0B5D" w:rsidRPr="000C0B5D">
        <w:rPr>
          <w:rFonts w:eastAsiaTheme="minorHAnsi"/>
          <w:bCs/>
          <w:sz w:val="28"/>
          <w:szCs w:val="28"/>
          <w:lang w:eastAsia="en-US"/>
        </w:rPr>
        <w:t>т</w:t>
      </w:r>
      <w:r w:rsidR="000C0B5D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="00406A85">
        <w:rPr>
          <w:rFonts w:eastAsiaTheme="minorHAnsi"/>
          <w:bCs/>
          <w:sz w:val="28"/>
          <w:szCs w:val="28"/>
          <w:lang w:eastAsia="en-US"/>
        </w:rPr>
        <w:t>доводиться</w:t>
      </w:r>
      <w:r w:rsidR="00C350A6">
        <w:rPr>
          <w:rFonts w:eastAsiaTheme="minorHAnsi"/>
          <w:bCs/>
          <w:sz w:val="28"/>
          <w:szCs w:val="28"/>
          <w:lang w:eastAsia="en-US"/>
        </w:rPr>
        <w:t xml:space="preserve"> МКП </w:t>
      </w:r>
      <w:r w:rsidR="00F51629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="00C350A6">
        <w:rPr>
          <w:rFonts w:eastAsiaTheme="minorHAnsi"/>
          <w:bCs/>
          <w:sz w:val="28"/>
          <w:szCs w:val="28"/>
          <w:lang w:eastAsia="en-US"/>
        </w:rPr>
        <w:t>Липецкгорсвет</w:t>
      </w:r>
      <w:proofErr w:type="spellEnd"/>
      <w:r w:rsidR="00F51629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406A85">
        <w:rPr>
          <w:rFonts w:eastAsiaTheme="minorHAnsi"/>
          <w:bCs/>
          <w:sz w:val="28"/>
          <w:szCs w:val="28"/>
          <w:lang w:eastAsia="en-US"/>
        </w:rPr>
        <w:t xml:space="preserve"> в виде субсидии на выполнение муниципального задания</w:t>
      </w:r>
      <w:r w:rsidR="00C350A6">
        <w:rPr>
          <w:rFonts w:eastAsiaTheme="minorHAnsi"/>
          <w:bCs/>
          <w:sz w:val="28"/>
          <w:szCs w:val="28"/>
          <w:lang w:eastAsia="en-US"/>
        </w:rPr>
        <w:t>,</w:t>
      </w:r>
      <w:r w:rsidR="00406A85">
        <w:rPr>
          <w:rFonts w:eastAsiaTheme="minorHAnsi"/>
          <w:bCs/>
          <w:sz w:val="28"/>
          <w:szCs w:val="28"/>
          <w:lang w:eastAsia="en-US"/>
        </w:rPr>
        <w:t xml:space="preserve"> в связи с</w:t>
      </w:r>
      <w:r w:rsidR="00C350A6">
        <w:rPr>
          <w:rFonts w:eastAsiaTheme="minorHAnsi"/>
          <w:bCs/>
          <w:sz w:val="28"/>
          <w:szCs w:val="28"/>
          <w:lang w:eastAsia="en-US"/>
        </w:rPr>
        <w:t xml:space="preserve"> его</w:t>
      </w:r>
      <w:r w:rsidR="00406A8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1A72">
        <w:rPr>
          <w:rFonts w:eastAsiaTheme="minorHAnsi"/>
          <w:bCs/>
          <w:sz w:val="28"/>
          <w:szCs w:val="28"/>
          <w:lang w:eastAsia="en-US"/>
        </w:rPr>
        <w:t xml:space="preserve">реорганизацией </w:t>
      </w:r>
      <w:r w:rsidR="00C350A6">
        <w:rPr>
          <w:rFonts w:eastAsiaTheme="minorHAnsi"/>
          <w:bCs/>
          <w:sz w:val="28"/>
          <w:szCs w:val="28"/>
          <w:lang w:eastAsia="en-US"/>
        </w:rPr>
        <w:t>в муниципальное бюджетное учреждение</w:t>
      </w:r>
      <w:r w:rsidR="00406A85">
        <w:rPr>
          <w:rFonts w:eastAsiaTheme="minorHAnsi"/>
          <w:bCs/>
          <w:sz w:val="28"/>
          <w:szCs w:val="28"/>
          <w:lang w:eastAsia="en-US"/>
        </w:rPr>
        <w:t>.</w:t>
      </w:r>
    </w:p>
    <w:p w:rsidR="00EA6768" w:rsidRDefault="00D400D7" w:rsidP="00970E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со статьей 78.</w:t>
      </w:r>
      <w:r w:rsidR="000A7333">
        <w:rPr>
          <w:rFonts w:eastAsiaTheme="minorHAnsi"/>
          <w:bCs/>
          <w:sz w:val="28"/>
          <w:szCs w:val="28"/>
          <w:lang w:eastAsia="en-US"/>
        </w:rPr>
        <w:t>2 БК РФ</w:t>
      </w:r>
      <w:r w:rsidR="00C04CA9">
        <w:rPr>
          <w:rFonts w:eastAsiaTheme="minorHAnsi"/>
          <w:bCs/>
          <w:sz w:val="28"/>
          <w:szCs w:val="28"/>
          <w:lang w:eastAsia="en-US"/>
        </w:rPr>
        <w:t>,</w:t>
      </w:r>
      <w:r w:rsidR="000A7333">
        <w:rPr>
          <w:rFonts w:eastAsiaTheme="minorHAnsi"/>
          <w:bCs/>
          <w:sz w:val="28"/>
          <w:szCs w:val="28"/>
          <w:lang w:eastAsia="en-US"/>
        </w:rPr>
        <w:t xml:space="preserve"> статьей 8 проекта</w:t>
      </w:r>
      <w:r w:rsidR="00F51629">
        <w:rPr>
          <w:rFonts w:eastAsiaTheme="minorHAnsi"/>
          <w:bCs/>
          <w:sz w:val="28"/>
          <w:szCs w:val="28"/>
          <w:lang w:eastAsia="en-US"/>
        </w:rPr>
        <w:t xml:space="preserve"> бюджета</w:t>
      </w:r>
      <w:r w:rsidR="000A7333">
        <w:rPr>
          <w:rFonts w:eastAsiaTheme="minorHAnsi"/>
          <w:bCs/>
          <w:sz w:val="28"/>
          <w:szCs w:val="28"/>
          <w:lang w:eastAsia="en-US"/>
        </w:rPr>
        <w:t xml:space="preserve"> предусм</w:t>
      </w:r>
      <w:r w:rsidR="00406A85">
        <w:rPr>
          <w:rFonts w:eastAsiaTheme="minorHAnsi"/>
          <w:bCs/>
          <w:sz w:val="28"/>
          <w:szCs w:val="28"/>
          <w:lang w:eastAsia="en-US"/>
        </w:rPr>
        <w:t xml:space="preserve">атривается </w:t>
      </w:r>
      <w:r w:rsidR="00C04CA9">
        <w:rPr>
          <w:rFonts w:eastAsiaTheme="minorHAnsi"/>
          <w:bCs/>
          <w:sz w:val="28"/>
          <w:szCs w:val="28"/>
          <w:lang w:eastAsia="en-US"/>
        </w:rPr>
        <w:t>субсиди</w:t>
      </w:r>
      <w:r w:rsidR="00C350A6">
        <w:rPr>
          <w:rFonts w:eastAsiaTheme="minorHAnsi"/>
          <w:bCs/>
          <w:sz w:val="28"/>
          <w:szCs w:val="28"/>
          <w:lang w:eastAsia="en-US"/>
        </w:rPr>
        <w:t>я</w:t>
      </w:r>
      <w:r w:rsidR="00C04CA9">
        <w:rPr>
          <w:rFonts w:eastAsiaTheme="minorHAnsi"/>
          <w:bCs/>
          <w:sz w:val="28"/>
          <w:szCs w:val="28"/>
          <w:lang w:eastAsia="en-US"/>
        </w:rPr>
        <w:t xml:space="preserve"> на осуществление капитальных вложений в объекты капитального строительства муниципальной собственности.</w:t>
      </w:r>
    </w:p>
    <w:p w:rsidR="00EE3A2A" w:rsidRDefault="00C04CA9" w:rsidP="00970E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2019 год на указанные цели предусмотрены бюджетные ассигнования для соблюдения </w:t>
      </w:r>
      <w:r w:rsidR="00635D02">
        <w:rPr>
          <w:rFonts w:eastAsiaTheme="minorHAnsi"/>
          <w:bCs/>
          <w:sz w:val="28"/>
          <w:szCs w:val="28"/>
          <w:lang w:eastAsia="en-US"/>
        </w:rPr>
        <w:t xml:space="preserve">условий </w:t>
      </w:r>
      <w:proofErr w:type="spellStart"/>
      <w:r w:rsidR="00635D02">
        <w:rPr>
          <w:rFonts w:eastAsiaTheme="minorHAnsi"/>
          <w:bCs/>
          <w:sz w:val="28"/>
          <w:szCs w:val="28"/>
          <w:lang w:eastAsia="en-US"/>
        </w:rPr>
        <w:t>софинансирования</w:t>
      </w:r>
      <w:proofErr w:type="spellEnd"/>
      <w:r w:rsidR="00635D02">
        <w:rPr>
          <w:rFonts w:eastAsiaTheme="minorHAnsi"/>
          <w:bCs/>
          <w:sz w:val="28"/>
          <w:szCs w:val="28"/>
          <w:lang w:eastAsia="en-US"/>
        </w:rPr>
        <w:t xml:space="preserve"> на реконструкцию производственных помещений</w:t>
      </w:r>
      <w:r w:rsidR="004D2D39"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EB5FE8">
        <w:rPr>
          <w:rFonts w:eastAsiaTheme="minorHAnsi"/>
          <w:bCs/>
          <w:sz w:val="28"/>
          <w:szCs w:val="28"/>
          <w:lang w:eastAsia="en-US"/>
        </w:rPr>
        <w:t>д</w:t>
      </w:r>
      <w:r w:rsidR="004D2D39">
        <w:rPr>
          <w:rFonts w:eastAsiaTheme="minorHAnsi"/>
          <w:bCs/>
          <w:sz w:val="28"/>
          <w:szCs w:val="28"/>
          <w:lang w:eastAsia="en-US"/>
        </w:rPr>
        <w:t xml:space="preserve"> единый корпус опытно-экспериментальных исследований МБУ «Технопарк-Липецк» в объеме 2,6 млн. рублей.</w:t>
      </w:r>
      <w:r w:rsidR="00635D0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04CA9" w:rsidRDefault="00C04CA9" w:rsidP="00970E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D6C05" w:rsidRDefault="00AD6C05" w:rsidP="00A91419">
      <w:pPr>
        <w:suppressAutoHyphens/>
        <w:jc w:val="center"/>
        <w:rPr>
          <w:b/>
          <w:sz w:val="28"/>
          <w:szCs w:val="28"/>
        </w:rPr>
      </w:pPr>
      <w:r w:rsidRPr="00AD6C05">
        <w:rPr>
          <w:b/>
          <w:sz w:val="28"/>
          <w:szCs w:val="28"/>
        </w:rPr>
        <w:t xml:space="preserve">4. </w:t>
      </w:r>
      <w:r w:rsidR="00426F63">
        <w:rPr>
          <w:b/>
          <w:sz w:val="28"/>
          <w:szCs w:val="28"/>
        </w:rPr>
        <w:t>Анализ прогноза доходов бюджета города.</w:t>
      </w:r>
    </w:p>
    <w:p w:rsidR="00AD6C05" w:rsidRPr="00AD6C05" w:rsidRDefault="00AD6C05" w:rsidP="007B7ECC">
      <w:pPr>
        <w:suppressAutoHyphens/>
        <w:rPr>
          <w:b/>
          <w:sz w:val="28"/>
          <w:szCs w:val="28"/>
        </w:rPr>
      </w:pPr>
    </w:p>
    <w:p w:rsidR="00AD6C05" w:rsidRDefault="00A91419" w:rsidP="00AD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города произведено в соответствии со ст. 174.1 Бюджетного кодекса РФ, на основании прогноза социально-</w:t>
      </w:r>
      <w:r>
        <w:rPr>
          <w:sz w:val="28"/>
          <w:szCs w:val="28"/>
        </w:rPr>
        <w:lastRenderedPageBreak/>
        <w:t>экономического развития города, основных направлений бюджетной и налоговой политики, показателей доведенных субъектом, расчетов главных администраторов доходов бюджета города.</w:t>
      </w:r>
    </w:p>
    <w:p w:rsidR="00A91419" w:rsidRDefault="00A91419" w:rsidP="00AD6C05">
      <w:pPr>
        <w:suppressAutoHyphens/>
        <w:ind w:firstLine="709"/>
        <w:jc w:val="both"/>
        <w:rPr>
          <w:sz w:val="28"/>
          <w:szCs w:val="28"/>
        </w:rPr>
      </w:pPr>
      <w:r w:rsidRPr="00426F63">
        <w:rPr>
          <w:sz w:val="28"/>
          <w:szCs w:val="28"/>
        </w:rPr>
        <w:t>При расчете объема доходов учтены изменения</w:t>
      </w:r>
      <w:r w:rsidR="005545E6" w:rsidRPr="00426F63">
        <w:rPr>
          <w:sz w:val="28"/>
          <w:szCs w:val="28"/>
        </w:rPr>
        <w:t>,</w:t>
      </w:r>
      <w:r w:rsidRPr="00426F63">
        <w:rPr>
          <w:sz w:val="28"/>
          <w:szCs w:val="28"/>
        </w:rPr>
        <w:t xml:space="preserve"> вносимые в действующее законодательство, касающиеся доходной части бюджета города.</w:t>
      </w:r>
    </w:p>
    <w:p w:rsidR="00426F63" w:rsidRDefault="00426F63" w:rsidP="00AD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существенное изменение состоит в том, что в 2019 году наступает первый срок уплаты налога на имущество физических лиц, исходя из кадастровой стоимости имущества.</w:t>
      </w:r>
    </w:p>
    <w:p w:rsidR="003B4B49" w:rsidRDefault="00426F63" w:rsidP="00AD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федеральным законодательством, с 1 января 2021 года </w:t>
      </w:r>
      <w:r w:rsidR="007A40F3">
        <w:rPr>
          <w:sz w:val="28"/>
          <w:szCs w:val="28"/>
        </w:rPr>
        <w:t xml:space="preserve">отменяется </w:t>
      </w:r>
      <w:r>
        <w:rPr>
          <w:sz w:val="28"/>
          <w:szCs w:val="28"/>
        </w:rPr>
        <w:t>система налогообложения в виде единого налога</w:t>
      </w:r>
      <w:r w:rsidR="003B4B49">
        <w:rPr>
          <w:sz w:val="28"/>
          <w:szCs w:val="28"/>
        </w:rPr>
        <w:t xml:space="preserve"> на вмененный доход д</w:t>
      </w:r>
      <w:r w:rsidR="007A40F3">
        <w:rPr>
          <w:sz w:val="28"/>
          <w:szCs w:val="28"/>
        </w:rPr>
        <w:t>ля отдельных видов деятельности</w:t>
      </w:r>
      <w:r w:rsidR="003B4B49">
        <w:rPr>
          <w:sz w:val="28"/>
          <w:szCs w:val="28"/>
        </w:rPr>
        <w:t>, поступления которого в полном объеме зачисляются в бюджет города.</w:t>
      </w:r>
    </w:p>
    <w:p w:rsidR="00426F63" w:rsidRDefault="003B4B49" w:rsidP="00AD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в 2019 году предусматривается в сумме  </w:t>
      </w:r>
      <w:r w:rsidR="007A40F3">
        <w:rPr>
          <w:sz w:val="28"/>
          <w:szCs w:val="28"/>
        </w:rPr>
        <w:t>10856,8</w:t>
      </w:r>
      <w:r>
        <w:rPr>
          <w:sz w:val="28"/>
          <w:szCs w:val="28"/>
        </w:rPr>
        <w:t xml:space="preserve"> млн. руб., что на </w:t>
      </w:r>
      <w:r w:rsidR="007A40F3">
        <w:rPr>
          <w:sz w:val="28"/>
          <w:szCs w:val="28"/>
        </w:rPr>
        <w:t>425,9</w:t>
      </w:r>
      <w:r>
        <w:rPr>
          <w:sz w:val="28"/>
          <w:szCs w:val="28"/>
        </w:rPr>
        <w:t xml:space="preserve"> млн. руб. или на </w:t>
      </w:r>
      <w:r w:rsidR="007A40F3">
        <w:rPr>
          <w:sz w:val="28"/>
          <w:szCs w:val="28"/>
        </w:rPr>
        <w:t>4,1</w:t>
      </w:r>
      <w:r>
        <w:rPr>
          <w:sz w:val="28"/>
          <w:szCs w:val="28"/>
        </w:rPr>
        <w:t xml:space="preserve">% </w:t>
      </w:r>
      <w:r w:rsidR="007A40F3">
        <w:rPr>
          <w:sz w:val="28"/>
          <w:szCs w:val="28"/>
        </w:rPr>
        <w:t xml:space="preserve">выше </w:t>
      </w:r>
      <w:r>
        <w:rPr>
          <w:sz w:val="28"/>
          <w:szCs w:val="28"/>
        </w:rPr>
        <w:t xml:space="preserve">первоначально планируемых на 2018 год, а по сравнению с ожидаемой оценкой исполнения текущего года объем доходов запланирован на уровне </w:t>
      </w:r>
      <w:r w:rsidR="007A40F3">
        <w:rPr>
          <w:sz w:val="28"/>
          <w:szCs w:val="28"/>
        </w:rPr>
        <w:t>87,1</w:t>
      </w:r>
      <w:r>
        <w:rPr>
          <w:sz w:val="28"/>
          <w:szCs w:val="28"/>
        </w:rPr>
        <w:t>%.</w:t>
      </w:r>
    </w:p>
    <w:p w:rsidR="003B4B49" w:rsidRDefault="003B4B49" w:rsidP="00AD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2020-2021 годов прогнозируется снижение общего объема доходов бюджета на </w:t>
      </w:r>
      <w:r w:rsidR="00681394">
        <w:rPr>
          <w:sz w:val="28"/>
          <w:szCs w:val="28"/>
        </w:rPr>
        <w:t xml:space="preserve">1720,6 млн. руб. и </w:t>
      </w:r>
      <w:r w:rsidR="000B7EB0">
        <w:rPr>
          <w:sz w:val="28"/>
          <w:szCs w:val="28"/>
        </w:rPr>
        <w:t xml:space="preserve">на </w:t>
      </w:r>
      <w:r w:rsidR="00681394">
        <w:rPr>
          <w:sz w:val="28"/>
          <w:szCs w:val="28"/>
        </w:rPr>
        <w:t>602,9 млн. руб. соответственно</w:t>
      </w:r>
      <w:r>
        <w:rPr>
          <w:sz w:val="28"/>
          <w:szCs w:val="28"/>
        </w:rPr>
        <w:t>.</w:t>
      </w:r>
    </w:p>
    <w:p w:rsidR="00426F63" w:rsidRPr="00426F63" w:rsidRDefault="00426F63" w:rsidP="00AD6C05">
      <w:pPr>
        <w:suppressAutoHyphens/>
        <w:ind w:firstLine="709"/>
        <w:jc w:val="both"/>
        <w:rPr>
          <w:sz w:val="28"/>
          <w:szCs w:val="28"/>
        </w:rPr>
      </w:pPr>
    </w:p>
    <w:p w:rsidR="00A60A7A" w:rsidRDefault="00A60A7A" w:rsidP="00AD6C05">
      <w:pPr>
        <w:ind w:firstLine="708"/>
        <w:jc w:val="both"/>
        <w:rPr>
          <w:sz w:val="28"/>
          <w:szCs w:val="28"/>
        </w:rPr>
      </w:pPr>
      <w:r w:rsidRPr="00A81058">
        <w:rPr>
          <w:sz w:val="28"/>
          <w:szCs w:val="28"/>
        </w:rPr>
        <w:t xml:space="preserve">Динамика </w:t>
      </w:r>
      <w:r w:rsidR="003B4B49" w:rsidRPr="00A81058">
        <w:rPr>
          <w:sz w:val="28"/>
          <w:szCs w:val="28"/>
        </w:rPr>
        <w:t xml:space="preserve">собственных и </w:t>
      </w:r>
      <w:r w:rsidR="00185994" w:rsidRPr="00A81058">
        <w:rPr>
          <w:sz w:val="28"/>
          <w:szCs w:val="28"/>
        </w:rPr>
        <w:t>привлечённых</w:t>
      </w:r>
      <w:r w:rsidRPr="00A81058">
        <w:rPr>
          <w:sz w:val="28"/>
          <w:szCs w:val="28"/>
        </w:rPr>
        <w:t xml:space="preserve"> доходов представлена следующими данными:</w:t>
      </w:r>
    </w:p>
    <w:p w:rsidR="00EE3A2A" w:rsidRPr="00A81058" w:rsidRDefault="00EE3A2A" w:rsidP="00AD6C05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276"/>
        <w:gridCol w:w="1134"/>
        <w:gridCol w:w="1098"/>
      </w:tblGrid>
      <w:tr w:rsidR="00A60A7A" w:rsidRPr="00A81058" w:rsidTr="003112C7">
        <w:tc>
          <w:tcPr>
            <w:tcW w:w="3794" w:type="dxa"/>
          </w:tcPr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201</w:t>
            </w:r>
            <w:r w:rsidR="00A81058" w:rsidRPr="00A81058">
              <w:rPr>
                <w:sz w:val="22"/>
                <w:szCs w:val="22"/>
              </w:rPr>
              <w:t>7</w:t>
            </w:r>
            <w:r w:rsidR="003112C7" w:rsidRPr="00A81058">
              <w:rPr>
                <w:sz w:val="22"/>
                <w:szCs w:val="22"/>
              </w:rPr>
              <w:t xml:space="preserve"> год</w:t>
            </w:r>
          </w:p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201</w:t>
            </w:r>
            <w:r w:rsidR="00A81058" w:rsidRPr="00A81058">
              <w:rPr>
                <w:sz w:val="22"/>
                <w:szCs w:val="22"/>
              </w:rPr>
              <w:t>8</w:t>
            </w:r>
            <w:r w:rsidR="003112C7" w:rsidRPr="00A81058">
              <w:rPr>
                <w:sz w:val="22"/>
                <w:szCs w:val="22"/>
              </w:rPr>
              <w:t xml:space="preserve"> год</w:t>
            </w:r>
          </w:p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201</w:t>
            </w:r>
            <w:r w:rsidR="00A81058" w:rsidRPr="00A81058">
              <w:rPr>
                <w:sz w:val="22"/>
                <w:szCs w:val="22"/>
              </w:rPr>
              <w:t>9</w:t>
            </w:r>
            <w:r w:rsidRPr="00A81058">
              <w:rPr>
                <w:sz w:val="22"/>
                <w:szCs w:val="22"/>
              </w:rPr>
              <w:t xml:space="preserve"> </w:t>
            </w:r>
            <w:r w:rsidR="005545E6" w:rsidRPr="00A81058">
              <w:rPr>
                <w:sz w:val="22"/>
                <w:szCs w:val="22"/>
              </w:rPr>
              <w:t>год</w:t>
            </w:r>
          </w:p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проект</w:t>
            </w:r>
          </w:p>
        </w:tc>
        <w:tc>
          <w:tcPr>
            <w:tcW w:w="1134" w:type="dxa"/>
          </w:tcPr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20</w:t>
            </w:r>
            <w:r w:rsidR="00A81058" w:rsidRPr="00A81058">
              <w:rPr>
                <w:sz w:val="22"/>
                <w:szCs w:val="22"/>
              </w:rPr>
              <w:t>20</w:t>
            </w:r>
            <w:r w:rsidR="003112C7" w:rsidRPr="00A81058">
              <w:rPr>
                <w:sz w:val="22"/>
                <w:szCs w:val="22"/>
              </w:rPr>
              <w:t xml:space="preserve"> год</w:t>
            </w:r>
          </w:p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 xml:space="preserve"> прогноз</w:t>
            </w:r>
          </w:p>
        </w:tc>
        <w:tc>
          <w:tcPr>
            <w:tcW w:w="1098" w:type="dxa"/>
          </w:tcPr>
          <w:p w:rsidR="00A60A7A" w:rsidRPr="00A81058" w:rsidRDefault="00A81058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2021</w:t>
            </w:r>
            <w:r w:rsidR="00A60A7A" w:rsidRPr="00A81058">
              <w:rPr>
                <w:sz w:val="22"/>
                <w:szCs w:val="22"/>
              </w:rPr>
              <w:t xml:space="preserve"> </w:t>
            </w:r>
            <w:r w:rsidR="003112C7" w:rsidRPr="00A81058">
              <w:rPr>
                <w:sz w:val="22"/>
                <w:szCs w:val="22"/>
              </w:rPr>
              <w:t>год</w:t>
            </w:r>
          </w:p>
          <w:p w:rsidR="00A60A7A" w:rsidRPr="00A81058" w:rsidRDefault="00A60A7A" w:rsidP="00A60A7A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прогноз</w:t>
            </w:r>
          </w:p>
        </w:tc>
      </w:tr>
      <w:tr w:rsidR="00A60A7A" w:rsidRPr="00A81058" w:rsidTr="003112C7">
        <w:tc>
          <w:tcPr>
            <w:tcW w:w="3794" w:type="dxa"/>
          </w:tcPr>
          <w:p w:rsidR="00A60A7A" w:rsidRPr="00A81058" w:rsidRDefault="00A60A7A" w:rsidP="00A60A7A">
            <w:pPr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1. Общий объем доходов</w:t>
            </w:r>
            <w:r w:rsidR="00A81058" w:rsidRPr="00A81058">
              <w:rPr>
                <w:sz w:val="22"/>
                <w:szCs w:val="22"/>
              </w:rPr>
              <w:t xml:space="preserve"> (млн. руб.)</w:t>
            </w: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</w:p>
          <w:p w:rsidR="00A60A7A" w:rsidRPr="00A81058" w:rsidRDefault="00A60A7A" w:rsidP="00A60A7A">
            <w:pPr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Темп роста к предыдущему год</w:t>
            </w:r>
            <w:r w:rsidR="00A74DB6" w:rsidRPr="00A81058">
              <w:rPr>
                <w:i/>
                <w:sz w:val="22"/>
                <w:szCs w:val="22"/>
              </w:rPr>
              <w:t>у</w:t>
            </w:r>
            <w:r w:rsidR="00A81058" w:rsidRPr="00A81058">
              <w:rPr>
                <w:i/>
                <w:sz w:val="22"/>
                <w:szCs w:val="22"/>
              </w:rPr>
              <w:t>(%)</w:t>
            </w: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 xml:space="preserve">2. </w:t>
            </w:r>
            <w:r w:rsidR="00A81058" w:rsidRPr="00A81058">
              <w:rPr>
                <w:sz w:val="22"/>
                <w:szCs w:val="22"/>
              </w:rPr>
              <w:t>Собственные доходы (млн. руб.)</w:t>
            </w: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</w:p>
          <w:p w:rsidR="00A60A7A" w:rsidRPr="00A81058" w:rsidRDefault="00A60A7A" w:rsidP="00A60A7A">
            <w:pPr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Темп роста к предыдущему году</w:t>
            </w:r>
            <w:r w:rsidR="00A81058" w:rsidRPr="00A81058">
              <w:rPr>
                <w:i/>
                <w:sz w:val="22"/>
                <w:szCs w:val="22"/>
              </w:rPr>
              <w:t>(%)</w:t>
            </w: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3. Безвозмездные поступления</w:t>
            </w:r>
            <w:r w:rsidR="00A81058" w:rsidRPr="00A81058">
              <w:rPr>
                <w:sz w:val="22"/>
                <w:szCs w:val="22"/>
              </w:rPr>
              <w:t xml:space="preserve"> (млн. руб.)</w:t>
            </w:r>
          </w:p>
          <w:p w:rsidR="00A60A7A" w:rsidRPr="00A81058" w:rsidRDefault="00A60A7A" w:rsidP="00A60A7A">
            <w:pPr>
              <w:rPr>
                <w:sz w:val="22"/>
                <w:szCs w:val="22"/>
              </w:rPr>
            </w:pPr>
          </w:p>
          <w:p w:rsidR="00A60A7A" w:rsidRPr="00A81058" w:rsidRDefault="00A60A7A" w:rsidP="00A60A7A">
            <w:pPr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Темп роста к предыдущему году</w:t>
            </w:r>
            <w:r w:rsidR="00A81058" w:rsidRPr="00A81058">
              <w:rPr>
                <w:i/>
                <w:sz w:val="22"/>
                <w:szCs w:val="22"/>
              </w:rPr>
              <w:t>(%)</w:t>
            </w:r>
          </w:p>
        </w:tc>
        <w:tc>
          <w:tcPr>
            <w:tcW w:w="1134" w:type="dxa"/>
          </w:tcPr>
          <w:p w:rsidR="00A60A7A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11169,9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A74DB6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108,5</w:t>
            </w:r>
          </w:p>
          <w:p w:rsidR="00A74DB6" w:rsidRPr="00A81058" w:rsidRDefault="00A74DB6" w:rsidP="003112C7">
            <w:pPr>
              <w:jc w:val="center"/>
              <w:rPr>
                <w:sz w:val="22"/>
                <w:szCs w:val="22"/>
              </w:rPr>
            </w:pPr>
          </w:p>
          <w:p w:rsidR="00A74DB6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5035,6</w:t>
            </w:r>
          </w:p>
          <w:p w:rsidR="00A74DB6" w:rsidRPr="00A81058" w:rsidRDefault="00A74DB6" w:rsidP="003112C7">
            <w:pPr>
              <w:jc w:val="center"/>
              <w:rPr>
                <w:sz w:val="22"/>
                <w:szCs w:val="22"/>
              </w:rPr>
            </w:pPr>
          </w:p>
          <w:p w:rsidR="00A74DB6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112,8</w:t>
            </w:r>
          </w:p>
          <w:p w:rsidR="00A74DB6" w:rsidRPr="00A81058" w:rsidRDefault="00A74DB6" w:rsidP="003112C7">
            <w:pPr>
              <w:jc w:val="center"/>
              <w:rPr>
                <w:sz w:val="22"/>
                <w:szCs w:val="22"/>
              </w:rPr>
            </w:pPr>
          </w:p>
          <w:p w:rsidR="00A74DB6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6134,3</w:t>
            </w:r>
          </w:p>
          <w:p w:rsidR="00A81058" w:rsidRPr="00A81058" w:rsidRDefault="00A81058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105,2</w:t>
            </w:r>
          </w:p>
        </w:tc>
        <w:tc>
          <w:tcPr>
            <w:tcW w:w="1134" w:type="dxa"/>
          </w:tcPr>
          <w:p w:rsidR="00A60A7A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12523,0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A60A7A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112,1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4639,8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92,1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A60A7A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7883,2</w:t>
            </w:r>
          </w:p>
          <w:p w:rsidR="00A74DB6" w:rsidRPr="00A81058" w:rsidRDefault="00A74DB6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A81058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A81058" w:rsidRDefault="00A81058" w:rsidP="00A81058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128,5</w:t>
            </w:r>
          </w:p>
        </w:tc>
        <w:tc>
          <w:tcPr>
            <w:tcW w:w="1276" w:type="dxa"/>
          </w:tcPr>
          <w:p w:rsidR="00A60A7A" w:rsidRPr="00A81058" w:rsidRDefault="007630CE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10856,8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86,7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4598,2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99,1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A60A7A" w:rsidRPr="00A81058" w:rsidRDefault="007630CE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6258,6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79,4</w:t>
            </w:r>
          </w:p>
        </w:tc>
        <w:tc>
          <w:tcPr>
            <w:tcW w:w="1134" w:type="dxa"/>
          </w:tcPr>
          <w:p w:rsidR="00A60A7A" w:rsidRPr="00A81058" w:rsidRDefault="007630CE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9136,2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84,2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4534,5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98,6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4601,7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</w:t>
            </w:r>
            <w:r w:rsidR="00A81058" w:rsidRPr="00A81058">
              <w:rPr>
                <w:i/>
                <w:sz w:val="22"/>
                <w:szCs w:val="22"/>
              </w:rPr>
              <w:t>,5</w:t>
            </w:r>
          </w:p>
        </w:tc>
        <w:tc>
          <w:tcPr>
            <w:tcW w:w="1098" w:type="dxa"/>
          </w:tcPr>
          <w:p w:rsidR="00A60A7A" w:rsidRPr="00A81058" w:rsidRDefault="007630CE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8553,3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93,6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4595,0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  <w:r w:rsidRPr="00A81058">
              <w:rPr>
                <w:i/>
                <w:sz w:val="22"/>
                <w:szCs w:val="22"/>
              </w:rPr>
              <w:t>101,3</w:t>
            </w:r>
          </w:p>
          <w:p w:rsidR="003112C7" w:rsidRPr="00A81058" w:rsidRDefault="003112C7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A81058" w:rsidRDefault="00A81058" w:rsidP="003112C7">
            <w:pPr>
              <w:jc w:val="center"/>
              <w:rPr>
                <w:sz w:val="22"/>
                <w:szCs w:val="22"/>
              </w:rPr>
            </w:pPr>
            <w:r w:rsidRPr="00A81058">
              <w:rPr>
                <w:sz w:val="22"/>
                <w:szCs w:val="22"/>
              </w:rPr>
              <w:t>3958,3</w:t>
            </w:r>
          </w:p>
          <w:p w:rsidR="00A60A7A" w:rsidRPr="00A81058" w:rsidRDefault="00A60A7A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A81058" w:rsidRDefault="00A81058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A81058" w:rsidRDefault="007630CE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86,0</w:t>
            </w:r>
          </w:p>
        </w:tc>
      </w:tr>
    </w:tbl>
    <w:p w:rsidR="00A60A7A" w:rsidRPr="00A81058" w:rsidRDefault="00A60A7A" w:rsidP="00AD6C05">
      <w:pPr>
        <w:ind w:firstLine="708"/>
        <w:jc w:val="both"/>
        <w:rPr>
          <w:sz w:val="28"/>
          <w:szCs w:val="28"/>
        </w:rPr>
      </w:pPr>
    </w:p>
    <w:p w:rsidR="00A81058" w:rsidRDefault="00056B48" w:rsidP="00AD6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доходная часть бюджета сформирована на 4</w:t>
      </w:r>
      <w:r w:rsidR="007630CE">
        <w:rPr>
          <w:sz w:val="28"/>
          <w:szCs w:val="28"/>
        </w:rPr>
        <w:t>2,4</w:t>
      </w:r>
      <w:r>
        <w:rPr>
          <w:sz w:val="28"/>
          <w:szCs w:val="28"/>
        </w:rPr>
        <w:t>%</w:t>
      </w:r>
      <w:r w:rsidR="00FF4E2F">
        <w:rPr>
          <w:sz w:val="28"/>
          <w:szCs w:val="28"/>
        </w:rPr>
        <w:t xml:space="preserve"> из </w:t>
      </w:r>
      <w:r w:rsidR="003714A5">
        <w:rPr>
          <w:sz w:val="28"/>
          <w:szCs w:val="28"/>
        </w:rPr>
        <w:t>собственных доходных источников,</w:t>
      </w:r>
      <w:r w:rsidR="007630CE">
        <w:rPr>
          <w:sz w:val="28"/>
          <w:szCs w:val="28"/>
        </w:rPr>
        <w:t xml:space="preserve"> </w:t>
      </w:r>
      <w:r w:rsidR="003714A5">
        <w:rPr>
          <w:sz w:val="28"/>
          <w:szCs w:val="28"/>
        </w:rPr>
        <w:t>5</w:t>
      </w:r>
      <w:r w:rsidR="007630CE">
        <w:rPr>
          <w:sz w:val="28"/>
          <w:szCs w:val="28"/>
        </w:rPr>
        <w:t>7,6</w:t>
      </w:r>
      <w:r w:rsidR="003714A5">
        <w:rPr>
          <w:sz w:val="28"/>
          <w:szCs w:val="28"/>
        </w:rPr>
        <w:t xml:space="preserve">% составят безвозмездные поступления из бюджетов вышестоящих уровней. В 2020-2021 годы объем собственных доходов прогнозируется на уровне 2019 года, а доля собственных доходов в общем объеме бюджета – </w:t>
      </w:r>
      <w:r w:rsidR="00F67177">
        <w:rPr>
          <w:sz w:val="28"/>
          <w:szCs w:val="28"/>
        </w:rPr>
        <w:t>49,6</w:t>
      </w:r>
      <w:r w:rsidR="003714A5">
        <w:rPr>
          <w:sz w:val="28"/>
          <w:szCs w:val="28"/>
        </w:rPr>
        <w:t>%</w:t>
      </w:r>
      <w:r w:rsidR="00F67177">
        <w:rPr>
          <w:sz w:val="28"/>
          <w:szCs w:val="28"/>
        </w:rPr>
        <w:t xml:space="preserve"> и 53,7% соответственно.</w:t>
      </w:r>
    </w:p>
    <w:p w:rsidR="003714A5" w:rsidRDefault="00D102E2" w:rsidP="00AD6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по сложившейся практике, величина поступлений из бюджетов других уровней в течение финансового года уточняется в сторону увеличения по мере принятия законов Липецкой области о распределении субсидий.</w:t>
      </w:r>
    </w:p>
    <w:p w:rsidR="00056B48" w:rsidRPr="00392206" w:rsidRDefault="00D102E2" w:rsidP="002707C8">
      <w:pPr>
        <w:ind w:firstLine="708"/>
        <w:jc w:val="both"/>
        <w:rPr>
          <w:i/>
          <w:sz w:val="28"/>
          <w:szCs w:val="28"/>
        </w:rPr>
      </w:pPr>
      <w:r w:rsidRPr="00392206">
        <w:rPr>
          <w:i/>
          <w:sz w:val="28"/>
          <w:szCs w:val="28"/>
        </w:rPr>
        <w:lastRenderedPageBreak/>
        <w:t>Величина собственных доходов бюджета города на протяжении ряда лет сохраняется в диапазоне от 4,5 до 5,0 млрд. руб</w:t>
      </w:r>
      <w:r w:rsidR="00923586">
        <w:rPr>
          <w:i/>
          <w:sz w:val="28"/>
          <w:szCs w:val="28"/>
        </w:rPr>
        <w:t>.</w:t>
      </w:r>
      <w:r w:rsidRPr="00392206">
        <w:rPr>
          <w:i/>
          <w:sz w:val="28"/>
          <w:szCs w:val="28"/>
        </w:rPr>
        <w:t xml:space="preserve"> и только в 201</w:t>
      </w:r>
      <w:r w:rsidR="00923586">
        <w:rPr>
          <w:i/>
          <w:sz w:val="28"/>
          <w:szCs w:val="28"/>
        </w:rPr>
        <w:t>7</w:t>
      </w:r>
      <w:r w:rsidRPr="00392206">
        <w:rPr>
          <w:i/>
          <w:sz w:val="28"/>
          <w:szCs w:val="28"/>
        </w:rPr>
        <w:t xml:space="preserve"> году исполнена с </w:t>
      </w:r>
      <w:r w:rsidR="002707C8" w:rsidRPr="00392206">
        <w:rPr>
          <w:i/>
          <w:sz w:val="28"/>
          <w:szCs w:val="28"/>
        </w:rPr>
        <w:t>незначительным превышением</w:t>
      </w:r>
      <w:r w:rsidR="00DD68EC">
        <w:rPr>
          <w:i/>
          <w:sz w:val="28"/>
          <w:szCs w:val="28"/>
        </w:rPr>
        <w:t>, что свидетельствует о стагнации собственной доходной базы города и увеличении зависимости от бюджетов других уровней</w:t>
      </w:r>
      <w:r w:rsidR="002707C8" w:rsidRPr="00392206">
        <w:rPr>
          <w:i/>
          <w:sz w:val="28"/>
          <w:szCs w:val="28"/>
        </w:rPr>
        <w:t>.</w:t>
      </w:r>
    </w:p>
    <w:p w:rsidR="002707C8" w:rsidRDefault="00861C71" w:rsidP="00274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</w:t>
      </w:r>
      <w:r w:rsidR="00326C5A">
        <w:rPr>
          <w:sz w:val="28"/>
          <w:szCs w:val="28"/>
        </w:rPr>
        <w:t xml:space="preserve"> собственных доходных источников представлен</w:t>
      </w:r>
      <w:r>
        <w:rPr>
          <w:sz w:val="28"/>
          <w:szCs w:val="28"/>
        </w:rPr>
        <w:t>а</w:t>
      </w:r>
      <w:r w:rsidR="00326C5A">
        <w:rPr>
          <w:sz w:val="28"/>
          <w:szCs w:val="28"/>
        </w:rPr>
        <w:t xml:space="preserve"> на диаграмме:</w:t>
      </w:r>
    </w:p>
    <w:p w:rsidR="002707C8" w:rsidRDefault="002707C8" w:rsidP="000D6FC4">
      <w:pPr>
        <w:ind w:firstLine="708"/>
        <w:jc w:val="both"/>
        <w:rPr>
          <w:sz w:val="28"/>
          <w:szCs w:val="28"/>
        </w:rPr>
      </w:pPr>
    </w:p>
    <w:p w:rsidR="002707C8" w:rsidRDefault="0027471F" w:rsidP="000D6FC4">
      <w:pPr>
        <w:ind w:firstLine="708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7E12916" wp14:editId="53F1F4F4">
            <wp:extent cx="5486400" cy="2971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1761" w:rsidRDefault="007C1761" w:rsidP="000D6FC4">
      <w:pPr>
        <w:ind w:firstLine="708"/>
        <w:jc w:val="both"/>
        <w:rPr>
          <w:sz w:val="28"/>
          <w:szCs w:val="28"/>
        </w:rPr>
      </w:pPr>
    </w:p>
    <w:p w:rsidR="007C1761" w:rsidRDefault="007C1761" w:rsidP="000D6F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47</w:t>
      </w:r>
      <w:r w:rsidR="00861C71">
        <w:rPr>
          <w:sz w:val="28"/>
          <w:szCs w:val="28"/>
        </w:rPr>
        <w:t>.1</w:t>
      </w:r>
      <w:r>
        <w:rPr>
          <w:sz w:val="28"/>
          <w:szCs w:val="28"/>
        </w:rPr>
        <w:t xml:space="preserve"> Бюджетного кодекса РФ и Постановлением П</w:t>
      </w:r>
      <w:r w:rsidR="005545E6">
        <w:rPr>
          <w:sz w:val="28"/>
          <w:szCs w:val="28"/>
        </w:rPr>
        <w:t xml:space="preserve">равительства РФ от 31.08.2016 </w:t>
      </w:r>
      <w:r>
        <w:rPr>
          <w:sz w:val="28"/>
          <w:szCs w:val="28"/>
        </w:rPr>
        <w:t xml:space="preserve"> № 868 «О порядке формирования и ведения перечня источников доходов Российской Федерации» в материалах к проекту бюджета представлен </w:t>
      </w:r>
      <w:r w:rsidR="00B04C5D">
        <w:rPr>
          <w:sz w:val="28"/>
          <w:szCs w:val="28"/>
        </w:rPr>
        <w:t>«</w:t>
      </w:r>
      <w:r w:rsidRPr="00B04C5D">
        <w:rPr>
          <w:i/>
          <w:sz w:val="28"/>
          <w:szCs w:val="28"/>
        </w:rPr>
        <w:t>Реестр источников доходов бюджета города на 201</w:t>
      </w:r>
      <w:r w:rsidR="00923586">
        <w:rPr>
          <w:i/>
          <w:sz w:val="28"/>
          <w:szCs w:val="28"/>
        </w:rPr>
        <w:t xml:space="preserve">9 </w:t>
      </w:r>
      <w:r w:rsidRPr="00B04C5D">
        <w:rPr>
          <w:i/>
          <w:sz w:val="28"/>
          <w:szCs w:val="28"/>
        </w:rPr>
        <w:t>год и на плановый период 20</w:t>
      </w:r>
      <w:r w:rsidR="00923586">
        <w:rPr>
          <w:i/>
          <w:sz w:val="28"/>
          <w:szCs w:val="28"/>
        </w:rPr>
        <w:t>20</w:t>
      </w:r>
      <w:r w:rsidRPr="00B04C5D">
        <w:rPr>
          <w:i/>
          <w:sz w:val="28"/>
          <w:szCs w:val="28"/>
        </w:rPr>
        <w:t xml:space="preserve"> и 202</w:t>
      </w:r>
      <w:r w:rsidR="00923586">
        <w:rPr>
          <w:i/>
          <w:sz w:val="28"/>
          <w:szCs w:val="28"/>
        </w:rPr>
        <w:t>1</w:t>
      </w:r>
      <w:r w:rsidRPr="00B04C5D">
        <w:rPr>
          <w:i/>
          <w:sz w:val="28"/>
          <w:szCs w:val="28"/>
        </w:rPr>
        <w:t xml:space="preserve"> годов»</w:t>
      </w:r>
      <w:r>
        <w:rPr>
          <w:sz w:val="28"/>
          <w:szCs w:val="28"/>
        </w:rPr>
        <w:t>, в котором</w:t>
      </w:r>
      <w:r w:rsidR="00C84EBF">
        <w:rPr>
          <w:sz w:val="28"/>
          <w:szCs w:val="28"/>
        </w:rPr>
        <w:t xml:space="preserve"> отражено 161</w:t>
      </w:r>
      <w:r>
        <w:rPr>
          <w:sz w:val="28"/>
          <w:szCs w:val="28"/>
        </w:rPr>
        <w:t xml:space="preserve"> </w:t>
      </w:r>
      <w:r w:rsidR="00EE6172">
        <w:rPr>
          <w:sz w:val="28"/>
          <w:szCs w:val="28"/>
        </w:rPr>
        <w:t>наименование</w:t>
      </w:r>
      <w:r w:rsidR="00B04C5D">
        <w:rPr>
          <w:sz w:val="28"/>
          <w:szCs w:val="28"/>
        </w:rPr>
        <w:t xml:space="preserve"> доходов бюджета города с указанием кода бюджетной классификации</w:t>
      </w:r>
      <w:proofErr w:type="gramEnd"/>
      <w:r w:rsidR="00B04C5D">
        <w:rPr>
          <w:sz w:val="28"/>
          <w:szCs w:val="28"/>
        </w:rPr>
        <w:t>, главного администратора доход</w:t>
      </w:r>
      <w:r w:rsidR="00645787">
        <w:rPr>
          <w:sz w:val="28"/>
          <w:szCs w:val="28"/>
        </w:rPr>
        <w:t>а</w:t>
      </w:r>
      <w:r w:rsidR="00B04C5D">
        <w:rPr>
          <w:sz w:val="28"/>
          <w:szCs w:val="28"/>
        </w:rPr>
        <w:t xml:space="preserve"> и прогноза поступлений по каждому доходному источнику.</w:t>
      </w:r>
    </w:p>
    <w:p w:rsidR="00EE3A2A" w:rsidRDefault="00EE3A2A" w:rsidP="00357CBB">
      <w:pPr>
        <w:ind w:firstLine="708"/>
        <w:jc w:val="both"/>
        <w:rPr>
          <w:b/>
          <w:i/>
          <w:sz w:val="28"/>
          <w:szCs w:val="28"/>
        </w:rPr>
      </w:pPr>
    </w:p>
    <w:p w:rsidR="00357CBB" w:rsidRDefault="00AD6C05" w:rsidP="00357CBB">
      <w:pPr>
        <w:ind w:firstLine="708"/>
        <w:jc w:val="both"/>
        <w:rPr>
          <w:sz w:val="28"/>
          <w:szCs w:val="28"/>
        </w:rPr>
      </w:pPr>
      <w:proofErr w:type="gramStart"/>
      <w:r w:rsidRPr="000D6FC4">
        <w:rPr>
          <w:b/>
          <w:i/>
          <w:sz w:val="28"/>
          <w:szCs w:val="28"/>
        </w:rPr>
        <w:t>Налоговые доходы</w:t>
      </w:r>
      <w:r w:rsidRPr="000D6FC4">
        <w:rPr>
          <w:sz w:val="28"/>
          <w:szCs w:val="28"/>
        </w:rPr>
        <w:t xml:space="preserve"> спрогнозированы в объеме </w:t>
      </w:r>
      <w:r w:rsidR="00EE6172">
        <w:rPr>
          <w:sz w:val="28"/>
          <w:szCs w:val="28"/>
        </w:rPr>
        <w:t>3880,0</w:t>
      </w:r>
      <w:r w:rsidRPr="000D6FC4">
        <w:rPr>
          <w:sz w:val="28"/>
          <w:szCs w:val="28"/>
        </w:rPr>
        <w:t xml:space="preserve"> млн. руб.</w:t>
      </w:r>
      <w:r w:rsidR="00EE6172">
        <w:rPr>
          <w:sz w:val="28"/>
          <w:szCs w:val="28"/>
        </w:rPr>
        <w:t xml:space="preserve"> (2019 год</w:t>
      </w:r>
      <w:r w:rsidR="00357CBB">
        <w:rPr>
          <w:sz w:val="28"/>
          <w:szCs w:val="28"/>
        </w:rPr>
        <w:t>), 3892,1</w:t>
      </w:r>
      <w:r w:rsidR="00491508">
        <w:rPr>
          <w:sz w:val="28"/>
          <w:szCs w:val="28"/>
        </w:rPr>
        <w:t xml:space="preserve"> млн. руб.</w:t>
      </w:r>
      <w:r w:rsidR="00357CBB">
        <w:rPr>
          <w:sz w:val="28"/>
          <w:szCs w:val="28"/>
        </w:rPr>
        <w:t xml:space="preserve"> (2020 год), 3968,0</w:t>
      </w:r>
      <w:r w:rsidR="00491508">
        <w:rPr>
          <w:sz w:val="28"/>
          <w:szCs w:val="28"/>
        </w:rPr>
        <w:t xml:space="preserve"> млн. руб.</w:t>
      </w:r>
      <w:r w:rsidR="00357CBB">
        <w:rPr>
          <w:sz w:val="28"/>
          <w:szCs w:val="28"/>
        </w:rPr>
        <w:t xml:space="preserve"> (2021 год), что практически на уровне утвержденных поступлений</w:t>
      </w:r>
      <w:r w:rsidR="00C84EBF">
        <w:rPr>
          <w:sz w:val="28"/>
          <w:szCs w:val="28"/>
        </w:rPr>
        <w:t xml:space="preserve"> текущего года (3924,1 млн. руб.).</w:t>
      </w:r>
      <w:proofErr w:type="gramEnd"/>
      <w:r w:rsidR="00C84EBF">
        <w:rPr>
          <w:sz w:val="28"/>
          <w:szCs w:val="28"/>
        </w:rPr>
        <w:t xml:space="preserve"> В текущем году планируется  снижение поступлений </w:t>
      </w:r>
      <w:r w:rsidR="00357CBB">
        <w:rPr>
          <w:sz w:val="28"/>
          <w:szCs w:val="28"/>
        </w:rPr>
        <w:t>земельного налога и единого налога на вмененный доход для отдельных видов деятельности, что суммарно повлечет выпадающие доходы в сумме порядка 90 млн. рублей.</w:t>
      </w:r>
    </w:p>
    <w:p w:rsidR="00AD6C05" w:rsidRDefault="00AD6C05" w:rsidP="00AD6C05">
      <w:pPr>
        <w:jc w:val="both"/>
        <w:rPr>
          <w:sz w:val="28"/>
          <w:szCs w:val="28"/>
        </w:rPr>
      </w:pPr>
      <w:r w:rsidRPr="00AD6C05">
        <w:rPr>
          <w:sz w:val="28"/>
          <w:szCs w:val="28"/>
        </w:rPr>
        <w:tab/>
      </w:r>
      <w:r w:rsidRPr="000D6FC4">
        <w:rPr>
          <w:b/>
          <w:i/>
          <w:sz w:val="28"/>
          <w:szCs w:val="28"/>
        </w:rPr>
        <w:t>Неналоговые доходы</w:t>
      </w:r>
      <w:r w:rsidRPr="00AD6C05">
        <w:rPr>
          <w:sz w:val="28"/>
          <w:szCs w:val="28"/>
        </w:rPr>
        <w:t xml:space="preserve"> прогнозируются в объеме </w:t>
      </w:r>
      <w:r w:rsidR="00357CBB">
        <w:rPr>
          <w:sz w:val="28"/>
          <w:szCs w:val="28"/>
        </w:rPr>
        <w:t>718,0</w:t>
      </w:r>
      <w:r w:rsidRPr="00AD6C05">
        <w:rPr>
          <w:sz w:val="28"/>
          <w:szCs w:val="28"/>
        </w:rPr>
        <w:t xml:space="preserve"> млн. руб., что на </w:t>
      </w:r>
      <w:r w:rsidR="00357CBB">
        <w:rPr>
          <w:sz w:val="28"/>
          <w:szCs w:val="28"/>
        </w:rPr>
        <w:t>67,0</w:t>
      </w:r>
      <w:r w:rsidR="00080870">
        <w:rPr>
          <w:sz w:val="28"/>
          <w:szCs w:val="28"/>
        </w:rPr>
        <w:t xml:space="preserve"> млн. руб.</w:t>
      </w:r>
      <w:r w:rsidR="00357CBB">
        <w:rPr>
          <w:sz w:val="28"/>
          <w:szCs w:val="28"/>
        </w:rPr>
        <w:t xml:space="preserve"> или на 10%</w:t>
      </w:r>
      <w:r w:rsidR="00080870">
        <w:rPr>
          <w:sz w:val="28"/>
          <w:szCs w:val="28"/>
        </w:rPr>
        <w:t xml:space="preserve"> </w:t>
      </w:r>
      <w:r w:rsidR="00357CBB">
        <w:rPr>
          <w:sz w:val="28"/>
          <w:szCs w:val="28"/>
        </w:rPr>
        <w:t>больше</w:t>
      </w:r>
      <w:r w:rsidR="00080870">
        <w:rPr>
          <w:sz w:val="28"/>
          <w:szCs w:val="28"/>
        </w:rPr>
        <w:t>, чем в 201</w:t>
      </w:r>
      <w:r w:rsidR="00357CBB">
        <w:rPr>
          <w:sz w:val="28"/>
          <w:szCs w:val="28"/>
        </w:rPr>
        <w:t>8</w:t>
      </w:r>
      <w:r w:rsidRPr="00AD6C05">
        <w:rPr>
          <w:sz w:val="28"/>
          <w:szCs w:val="28"/>
        </w:rPr>
        <w:t xml:space="preserve"> году.</w:t>
      </w:r>
    </w:p>
    <w:p w:rsidR="002707C8" w:rsidRDefault="002707C8" w:rsidP="002707C8">
      <w:pPr>
        <w:ind w:firstLine="708"/>
        <w:jc w:val="both"/>
        <w:rPr>
          <w:color w:val="FF0000"/>
          <w:sz w:val="28"/>
          <w:szCs w:val="28"/>
        </w:rPr>
      </w:pPr>
    </w:p>
    <w:p w:rsidR="002707C8" w:rsidRPr="007567E9" w:rsidRDefault="002707C8" w:rsidP="002707C8">
      <w:pPr>
        <w:ind w:firstLine="708"/>
        <w:jc w:val="both"/>
        <w:rPr>
          <w:sz w:val="28"/>
          <w:szCs w:val="28"/>
        </w:rPr>
      </w:pPr>
      <w:r w:rsidRPr="007567E9">
        <w:rPr>
          <w:sz w:val="28"/>
          <w:szCs w:val="28"/>
        </w:rPr>
        <w:t xml:space="preserve">Структура </w:t>
      </w:r>
      <w:r w:rsidR="007567E9" w:rsidRPr="007567E9">
        <w:rPr>
          <w:sz w:val="28"/>
          <w:szCs w:val="28"/>
        </w:rPr>
        <w:t>собственных доходных источников</w:t>
      </w:r>
      <w:r w:rsidRPr="007567E9">
        <w:rPr>
          <w:sz w:val="28"/>
          <w:szCs w:val="28"/>
        </w:rPr>
        <w:t xml:space="preserve"> </w:t>
      </w:r>
      <w:r w:rsidR="007567E9" w:rsidRPr="007567E9">
        <w:rPr>
          <w:sz w:val="28"/>
          <w:szCs w:val="28"/>
        </w:rPr>
        <w:t>в</w:t>
      </w:r>
      <w:r w:rsidRPr="007567E9">
        <w:rPr>
          <w:sz w:val="28"/>
          <w:szCs w:val="28"/>
        </w:rPr>
        <w:t xml:space="preserve"> 201</w:t>
      </w:r>
      <w:r w:rsidR="007567E9" w:rsidRPr="007567E9">
        <w:rPr>
          <w:sz w:val="28"/>
          <w:szCs w:val="28"/>
        </w:rPr>
        <w:t>9</w:t>
      </w:r>
      <w:r w:rsidRPr="007567E9">
        <w:rPr>
          <w:sz w:val="28"/>
          <w:szCs w:val="28"/>
        </w:rPr>
        <w:t xml:space="preserve"> год</w:t>
      </w:r>
      <w:r w:rsidR="007567E9" w:rsidRPr="007567E9">
        <w:rPr>
          <w:sz w:val="28"/>
          <w:szCs w:val="28"/>
        </w:rPr>
        <w:t>у</w:t>
      </w:r>
      <w:r w:rsidRPr="007567E9">
        <w:rPr>
          <w:sz w:val="28"/>
          <w:szCs w:val="28"/>
        </w:rPr>
        <w:t xml:space="preserve"> представлена следующей диаграммой:</w:t>
      </w:r>
    </w:p>
    <w:p w:rsidR="002707C8" w:rsidRDefault="002707C8" w:rsidP="002707C8">
      <w:pPr>
        <w:ind w:firstLine="708"/>
        <w:jc w:val="both"/>
        <w:rPr>
          <w:sz w:val="28"/>
          <w:szCs w:val="28"/>
        </w:rPr>
      </w:pPr>
    </w:p>
    <w:p w:rsidR="002707C8" w:rsidRDefault="002707C8" w:rsidP="002707C8">
      <w:pPr>
        <w:ind w:firstLine="708"/>
        <w:jc w:val="both"/>
        <w:rPr>
          <w:sz w:val="28"/>
          <w:szCs w:val="28"/>
        </w:rPr>
      </w:pPr>
      <w:r w:rsidRPr="00A74EA3"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18DF9C74" wp14:editId="5581D6E5">
            <wp:extent cx="548640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07C8" w:rsidRDefault="002707C8" w:rsidP="002707C8">
      <w:pPr>
        <w:ind w:firstLine="708"/>
        <w:jc w:val="both"/>
        <w:rPr>
          <w:sz w:val="28"/>
          <w:szCs w:val="28"/>
        </w:rPr>
      </w:pPr>
    </w:p>
    <w:p w:rsidR="00606032" w:rsidRDefault="00E433C4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боле</w:t>
      </w:r>
      <w:r w:rsidR="00491508">
        <w:rPr>
          <w:sz w:val="28"/>
          <w:szCs w:val="28"/>
        </w:rPr>
        <w:t>е</w:t>
      </w:r>
      <w:r>
        <w:rPr>
          <w:sz w:val="28"/>
          <w:szCs w:val="28"/>
        </w:rPr>
        <w:t xml:space="preserve"> 47% собственных доходов бюджета города должно быть обеспечено за счет поступлений налога на доходы физических лиц.</w:t>
      </w:r>
    </w:p>
    <w:p w:rsidR="00E433C4" w:rsidRDefault="00180753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36F78">
        <w:rPr>
          <w:sz w:val="28"/>
          <w:szCs w:val="28"/>
        </w:rPr>
        <w:t>долю з</w:t>
      </w:r>
      <w:r>
        <w:rPr>
          <w:sz w:val="28"/>
          <w:szCs w:val="28"/>
        </w:rPr>
        <w:t>емельного налога приходится 23% собственных доходов; арендная плата за землю и средства от продажи земли составляют около 6%, налог на вмененный доход для отдельных видов деятельности и на имущество физических лиц составляют порядка 5% каждый, доля остальных доходных источников незначительна.</w:t>
      </w:r>
    </w:p>
    <w:p w:rsidR="00180753" w:rsidRDefault="00AC15C4" w:rsidP="002707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пояснительной записке к проекту бюджета имеется ссылка на то, что расчеты поступлений платежей по основным доходным источникам произведены</w:t>
      </w:r>
      <w:r w:rsidR="008A170F">
        <w:rPr>
          <w:sz w:val="28"/>
          <w:szCs w:val="28"/>
        </w:rPr>
        <w:t xml:space="preserve"> департаментом финансов по сведениям, предоставленным главными администраторами доходов, подготовленным на основании утвержденных методик прогнозирования поступлений доходов  в бюджет, в соответствии с общими требованиями к такой методике, установленными Правительством РФ.</w:t>
      </w:r>
      <w:proofErr w:type="gramEnd"/>
    </w:p>
    <w:p w:rsidR="008A170F" w:rsidRPr="00036F78" w:rsidRDefault="00F76728" w:rsidP="002707C8">
      <w:pPr>
        <w:ind w:firstLine="708"/>
        <w:jc w:val="both"/>
        <w:rPr>
          <w:i/>
          <w:sz w:val="28"/>
          <w:szCs w:val="28"/>
        </w:rPr>
      </w:pPr>
      <w:r w:rsidRPr="00036F78">
        <w:rPr>
          <w:i/>
          <w:sz w:val="28"/>
          <w:szCs w:val="28"/>
        </w:rPr>
        <w:t>Вместе с тем, по отдельным видам доходов приведены только цифровые значения</w:t>
      </w:r>
      <w:r w:rsidR="004B5707" w:rsidRPr="00036F78">
        <w:rPr>
          <w:i/>
          <w:sz w:val="28"/>
          <w:szCs w:val="28"/>
        </w:rPr>
        <w:t xml:space="preserve"> прогнозируемых доходов без указания метода прогнозирования или формул расчета, без приведения конкретных расчетов.</w:t>
      </w:r>
    </w:p>
    <w:p w:rsidR="004B5707" w:rsidRPr="00036F78" w:rsidRDefault="00C40227" w:rsidP="002707C8">
      <w:pPr>
        <w:ind w:firstLine="708"/>
        <w:jc w:val="both"/>
        <w:rPr>
          <w:i/>
          <w:sz w:val="28"/>
          <w:szCs w:val="28"/>
        </w:rPr>
      </w:pPr>
      <w:r w:rsidRPr="00036F78">
        <w:rPr>
          <w:i/>
          <w:sz w:val="28"/>
          <w:szCs w:val="28"/>
        </w:rPr>
        <w:t>В связи с этим, Счетная палата планирует в предстоящем году проведение экспертно-аналитического мероприятия по проверке наличия и соблюдения методик прогнозирования доходов бюджета у отдельных главных администраторов.</w:t>
      </w:r>
    </w:p>
    <w:p w:rsidR="00C40227" w:rsidRDefault="007F7182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</w:t>
      </w:r>
      <w:r w:rsidR="00FD5710">
        <w:rPr>
          <w:sz w:val="28"/>
          <w:szCs w:val="28"/>
        </w:rPr>
        <w:t xml:space="preserve"> </w:t>
      </w:r>
      <w:proofErr w:type="spellStart"/>
      <w:r w:rsidR="00FD5710">
        <w:rPr>
          <w:sz w:val="28"/>
          <w:szCs w:val="28"/>
        </w:rPr>
        <w:t>камерально</w:t>
      </w:r>
      <w:proofErr w:type="spellEnd"/>
      <w:r>
        <w:rPr>
          <w:sz w:val="28"/>
          <w:szCs w:val="28"/>
        </w:rPr>
        <w:t xml:space="preserve"> расчеты поступлений по основным доходным</w:t>
      </w:r>
      <w:r w:rsidR="008F4D25">
        <w:rPr>
          <w:sz w:val="28"/>
          <w:szCs w:val="28"/>
        </w:rPr>
        <w:t xml:space="preserve"> источникам, отмечаем следующее.</w:t>
      </w:r>
    </w:p>
    <w:p w:rsidR="00FC0589" w:rsidRDefault="00FC0589" w:rsidP="002707C8">
      <w:pPr>
        <w:ind w:firstLine="708"/>
        <w:jc w:val="both"/>
        <w:rPr>
          <w:sz w:val="28"/>
          <w:szCs w:val="28"/>
        </w:rPr>
      </w:pPr>
    </w:p>
    <w:p w:rsidR="003A0206" w:rsidRDefault="007F7182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Поступления </w:t>
      </w:r>
      <w:r w:rsidRPr="00C542E5">
        <w:rPr>
          <w:b/>
          <w:i/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 xml:space="preserve"> прогнозируются в следующих параметрах:</w:t>
      </w:r>
    </w:p>
    <w:p w:rsidR="00EE3A2A" w:rsidRDefault="00EE3A2A" w:rsidP="002707C8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418"/>
        <w:gridCol w:w="992"/>
        <w:gridCol w:w="992"/>
        <w:gridCol w:w="993"/>
      </w:tblGrid>
      <w:tr w:rsidR="001953C6" w:rsidTr="007F4621">
        <w:tc>
          <w:tcPr>
            <w:tcW w:w="2802" w:type="dxa"/>
            <w:vMerge w:val="restart"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1953C6" w:rsidRPr="001953C6" w:rsidRDefault="001953C6" w:rsidP="001953C6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2018</w:t>
            </w:r>
            <w:r w:rsidR="003A0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2019</w:t>
            </w:r>
            <w:r w:rsidR="003A0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2020</w:t>
            </w:r>
            <w:r w:rsidR="003A0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2021</w:t>
            </w:r>
            <w:r w:rsidR="003A0206">
              <w:rPr>
                <w:sz w:val="24"/>
                <w:szCs w:val="24"/>
              </w:rPr>
              <w:t xml:space="preserve"> г.</w:t>
            </w:r>
          </w:p>
        </w:tc>
      </w:tr>
      <w:tr w:rsidR="001953C6" w:rsidTr="007F4621">
        <w:tc>
          <w:tcPr>
            <w:tcW w:w="2802" w:type="dxa"/>
            <w:vMerge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C6" w:rsidRPr="001953C6" w:rsidRDefault="001953C6" w:rsidP="001953C6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первонач.</w:t>
            </w:r>
          </w:p>
          <w:p w:rsidR="001953C6" w:rsidRPr="001953C6" w:rsidRDefault="001953C6" w:rsidP="001953C6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953C6" w:rsidRPr="001953C6" w:rsidRDefault="001953C6" w:rsidP="001953C6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уточнен.</w:t>
            </w:r>
          </w:p>
          <w:p w:rsidR="001953C6" w:rsidRPr="001953C6" w:rsidRDefault="001953C6" w:rsidP="001953C6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ожидаемое исполнение</w:t>
            </w:r>
          </w:p>
        </w:tc>
        <w:tc>
          <w:tcPr>
            <w:tcW w:w="992" w:type="dxa"/>
            <w:vMerge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</w:p>
        </w:tc>
      </w:tr>
      <w:tr w:rsidR="001953C6" w:rsidTr="007F4621">
        <w:tc>
          <w:tcPr>
            <w:tcW w:w="2802" w:type="dxa"/>
          </w:tcPr>
          <w:p w:rsidR="007F4621" w:rsidRDefault="001953C6" w:rsidP="007F4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поступлений </w:t>
            </w:r>
          </w:p>
          <w:p w:rsidR="003A0206" w:rsidRPr="001953C6" w:rsidRDefault="001953C6" w:rsidP="007F4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руб.)</w:t>
            </w:r>
          </w:p>
        </w:tc>
        <w:tc>
          <w:tcPr>
            <w:tcW w:w="1275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1903,9</w:t>
            </w:r>
          </w:p>
        </w:tc>
        <w:tc>
          <w:tcPr>
            <w:tcW w:w="1134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1418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2249,4</w:t>
            </w:r>
          </w:p>
        </w:tc>
        <w:tc>
          <w:tcPr>
            <w:tcW w:w="992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2157,9</w:t>
            </w:r>
          </w:p>
        </w:tc>
        <w:tc>
          <w:tcPr>
            <w:tcW w:w="993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2349,1</w:t>
            </w:r>
          </w:p>
        </w:tc>
      </w:tr>
      <w:tr w:rsidR="001953C6" w:rsidTr="007F4621">
        <w:tc>
          <w:tcPr>
            <w:tcW w:w="2802" w:type="dxa"/>
          </w:tcPr>
          <w:p w:rsidR="003A0206" w:rsidRPr="001953C6" w:rsidRDefault="001953C6" w:rsidP="007F4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отчислений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F4621" w:rsidRDefault="007F4621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1953C6" w:rsidP="007F4621">
            <w:pPr>
              <w:jc w:val="center"/>
              <w:rPr>
                <w:sz w:val="24"/>
                <w:szCs w:val="24"/>
              </w:rPr>
            </w:pPr>
            <w:r w:rsidRPr="001953C6">
              <w:rPr>
                <w:sz w:val="24"/>
                <w:szCs w:val="24"/>
              </w:rPr>
              <w:t>16,9</w:t>
            </w:r>
          </w:p>
        </w:tc>
      </w:tr>
      <w:tr w:rsidR="001953C6" w:rsidTr="007F4621">
        <w:tc>
          <w:tcPr>
            <w:tcW w:w="2802" w:type="dxa"/>
          </w:tcPr>
          <w:p w:rsidR="007F4621" w:rsidRDefault="001953C6" w:rsidP="00270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фонда оплаты труда </w:t>
            </w:r>
          </w:p>
          <w:p w:rsidR="001953C6" w:rsidRPr="001953C6" w:rsidRDefault="001953C6" w:rsidP="00270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 к прошлому году)</w:t>
            </w:r>
          </w:p>
        </w:tc>
        <w:tc>
          <w:tcPr>
            <w:tcW w:w="1275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418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992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992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993" w:type="dxa"/>
          </w:tcPr>
          <w:p w:rsidR="003A0206" w:rsidRDefault="003A0206" w:rsidP="007F4621">
            <w:pPr>
              <w:jc w:val="center"/>
              <w:rPr>
                <w:sz w:val="24"/>
                <w:szCs w:val="24"/>
              </w:rPr>
            </w:pPr>
          </w:p>
          <w:p w:rsidR="001953C6" w:rsidRPr="001953C6" w:rsidRDefault="003A0206" w:rsidP="007F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</w:tbl>
    <w:p w:rsidR="00606032" w:rsidRDefault="00606032" w:rsidP="002707C8">
      <w:pPr>
        <w:ind w:firstLine="708"/>
        <w:jc w:val="both"/>
        <w:rPr>
          <w:sz w:val="28"/>
          <w:szCs w:val="28"/>
        </w:rPr>
      </w:pPr>
    </w:p>
    <w:p w:rsidR="00E562B5" w:rsidRDefault="00E14D37" w:rsidP="002707C8">
      <w:pPr>
        <w:ind w:firstLine="708"/>
        <w:jc w:val="both"/>
        <w:rPr>
          <w:sz w:val="28"/>
          <w:szCs w:val="28"/>
        </w:rPr>
      </w:pPr>
      <w:r w:rsidRPr="00E14D37">
        <w:rPr>
          <w:sz w:val="28"/>
          <w:szCs w:val="28"/>
        </w:rPr>
        <w:t>На 2019 год</w:t>
      </w:r>
      <w:r w:rsidR="009377EF">
        <w:rPr>
          <w:sz w:val="28"/>
          <w:szCs w:val="28"/>
        </w:rPr>
        <w:t xml:space="preserve"> в бюджете города</w:t>
      </w:r>
      <w:r w:rsidR="008F4D25">
        <w:rPr>
          <w:sz w:val="28"/>
          <w:szCs w:val="28"/>
        </w:rPr>
        <w:t xml:space="preserve"> запланированы поступления НДФЛ</w:t>
      </w:r>
      <w:r w:rsidR="009377EF">
        <w:rPr>
          <w:sz w:val="28"/>
          <w:szCs w:val="28"/>
        </w:rPr>
        <w:t xml:space="preserve"> на уровне уточненного плана текущего года</w:t>
      </w:r>
      <w:r w:rsidR="008F4D25">
        <w:rPr>
          <w:sz w:val="28"/>
          <w:szCs w:val="28"/>
        </w:rPr>
        <w:t xml:space="preserve"> в сумме 2167,9 млн. рублей</w:t>
      </w:r>
      <w:r w:rsidR="009377EF">
        <w:rPr>
          <w:sz w:val="28"/>
          <w:szCs w:val="28"/>
        </w:rPr>
        <w:t>. При этом</w:t>
      </w:r>
      <w:proofErr w:type="gramStart"/>
      <w:r w:rsidR="009377EF">
        <w:rPr>
          <w:sz w:val="28"/>
          <w:szCs w:val="28"/>
        </w:rPr>
        <w:t>,</w:t>
      </w:r>
      <w:proofErr w:type="gramEnd"/>
      <w:r w:rsidR="009377EF">
        <w:rPr>
          <w:sz w:val="28"/>
          <w:szCs w:val="28"/>
        </w:rPr>
        <w:t xml:space="preserve"> </w:t>
      </w:r>
      <w:r w:rsidR="00DE1A72">
        <w:rPr>
          <w:sz w:val="28"/>
          <w:szCs w:val="28"/>
        </w:rPr>
        <w:t xml:space="preserve">фактически </w:t>
      </w:r>
      <w:r w:rsidR="009377EF">
        <w:rPr>
          <w:sz w:val="28"/>
          <w:szCs w:val="28"/>
        </w:rPr>
        <w:t>ожидаемое поступление НДФЛ в текущем году составит, по оценке департамента финансов</w:t>
      </w:r>
      <w:r w:rsidR="00DE1A72">
        <w:rPr>
          <w:sz w:val="28"/>
          <w:szCs w:val="28"/>
        </w:rPr>
        <w:t xml:space="preserve">, </w:t>
      </w:r>
      <w:r w:rsidR="00FD5710">
        <w:rPr>
          <w:sz w:val="28"/>
          <w:szCs w:val="28"/>
        </w:rPr>
        <w:t xml:space="preserve"> 2249,4 млн. руб</w:t>
      </w:r>
      <w:r w:rsidR="009377EF">
        <w:rPr>
          <w:sz w:val="28"/>
          <w:szCs w:val="28"/>
        </w:rPr>
        <w:t>.</w:t>
      </w:r>
      <w:r w:rsidR="00FD5710">
        <w:rPr>
          <w:sz w:val="28"/>
          <w:szCs w:val="28"/>
        </w:rPr>
        <w:t>, т.е. почти на 100 млн. руб. больше</w:t>
      </w:r>
      <w:r w:rsidR="008F4D25">
        <w:rPr>
          <w:sz w:val="28"/>
          <w:szCs w:val="28"/>
        </w:rPr>
        <w:t>.</w:t>
      </w:r>
    </w:p>
    <w:p w:rsidR="00E562B5" w:rsidRPr="00C542E5" w:rsidRDefault="00C542E5" w:rsidP="00C54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поступлений НДФЛ на 2019 год учтен прогноз роста фонда оплаты труда на 9,5%, а также выпадающая из бюджета сумма имущественных и социальных вычетов (в среднем за последние 3 года -</w:t>
      </w:r>
      <w:r w:rsidR="007F4621">
        <w:rPr>
          <w:sz w:val="28"/>
          <w:szCs w:val="28"/>
        </w:rPr>
        <w:t xml:space="preserve"> </w:t>
      </w:r>
      <w:r>
        <w:rPr>
          <w:sz w:val="28"/>
          <w:szCs w:val="28"/>
        </w:rPr>
        <w:t>61,0 млн. руб</w:t>
      </w:r>
      <w:r w:rsidR="007F4621">
        <w:rPr>
          <w:sz w:val="28"/>
          <w:szCs w:val="28"/>
        </w:rPr>
        <w:t>.</w:t>
      </w:r>
      <w:r>
        <w:rPr>
          <w:sz w:val="28"/>
          <w:szCs w:val="28"/>
        </w:rPr>
        <w:t xml:space="preserve">). Кроме того, годовой контингент поступлений налоговых платежей </w:t>
      </w:r>
      <w:r w:rsidR="00FD5710">
        <w:rPr>
          <w:sz w:val="28"/>
          <w:szCs w:val="28"/>
        </w:rPr>
        <w:t xml:space="preserve">уменьшен </w:t>
      </w:r>
      <w:r>
        <w:rPr>
          <w:sz w:val="28"/>
          <w:szCs w:val="28"/>
        </w:rPr>
        <w:t>на сумму разовых поступлений налога в сумме 1386 млн. руб., в том числе в городской бюджет 259,2 млн. рублей.</w:t>
      </w:r>
    </w:p>
    <w:p w:rsidR="00E562B5" w:rsidRPr="00DE1A72" w:rsidRDefault="00294712" w:rsidP="002707C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C542E5" w:rsidRPr="00C542E5">
        <w:rPr>
          <w:sz w:val="28"/>
          <w:szCs w:val="28"/>
        </w:rPr>
        <w:t>еличина р</w:t>
      </w:r>
      <w:r>
        <w:rPr>
          <w:sz w:val="28"/>
          <w:szCs w:val="28"/>
        </w:rPr>
        <w:t>а</w:t>
      </w:r>
      <w:r w:rsidR="00C542E5" w:rsidRPr="00C542E5">
        <w:rPr>
          <w:sz w:val="28"/>
          <w:szCs w:val="28"/>
        </w:rPr>
        <w:t>зовых выплат</w:t>
      </w:r>
      <w:r w:rsidR="00DE1A72">
        <w:rPr>
          <w:sz w:val="28"/>
          <w:szCs w:val="28"/>
        </w:rPr>
        <w:t>,</w:t>
      </w:r>
      <w:r w:rsidR="00C542E5" w:rsidRPr="00C542E5">
        <w:rPr>
          <w:sz w:val="28"/>
          <w:szCs w:val="28"/>
        </w:rPr>
        <w:t xml:space="preserve"> </w:t>
      </w:r>
      <w:r>
        <w:rPr>
          <w:sz w:val="28"/>
          <w:szCs w:val="28"/>
        </w:rPr>
        <w:t>по сути</w:t>
      </w:r>
      <w:r w:rsidR="00DE1A72">
        <w:rPr>
          <w:sz w:val="28"/>
          <w:szCs w:val="28"/>
        </w:rPr>
        <w:t>,</w:t>
      </w:r>
      <w:r w:rsidR="00C542E5">
        <w:rPr>
          <w:sz w:val="28"/>
          <w:szCs w:val="28"/>
        </w:rPr>
        <w:t xml:space="preserve"> является ежегодными </w:t>
      </w:r>
      <w:r w:rsidR="00DD68EC">
        <w:rPr>
          <w:sz w:val="28"/>
          <w:szCs w:val="28"/>
        </w:rPr>
        <w:t>платежами</w:t>
      </w:r>
      <w:r w:rsidR="00C542E5">
        <w:rPr>
          <w:sz w:val="28"/>
          <w:szCs w:val="28"/>
        </w:rPr>
        <w:t xml:space="preserve"> крупнейших плательщиков</w:t>
      </w:r>
      <w:r>
        <w:rPr>
          <w:sz w:val="28"/>
          <w:szCs w:val="28"/>
        </w:rPr>
        <w:t xml:space="preserve"> от разовых сделок</w:t>
      </w:r>
      <w:r w:rsidR="008F4D25">
        <w:rPr>
          <w:sz w:val="28"/>
          <w:szCs w:val="28"/>
        </w:rPr>
        <w:t>,</w:t>
      </w:r>
      <w:r>
        <w:rPr>
          <w:sz w:val="28"/>
          <w:szCs w:val="28"/>
        </w:rPr>
        <w:t xml:space="preserve"> величина </w:t>
      </w:r>
      <w:r w:rsidR="00DD68EC">
        <w:rPr>
          <w:sz w:val="28"/>
          <w:szCs w:val="28"/>
        </w:rPr>
        <w:t>налога от</w:t>
      </w:r>
      <w:r>
        <w:rPr>
          <w:sz w:val="28"/>
          <w:szCs w:val="28"/>
        </w:rPr>
        <w:t xml:space="preserve"> которы</w:t>
      </w:r>
      <w:r w:rsidR="00DD68E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E1A72">
        <w:rPr>
          <w:sz w:val="28"/>
          <w:szCs w:val="28"/>
        </w:rPr>
        <w:t>проблематична</w:t>
      </w:r>
      <w:r>
        <w:rPr>
          <w:sz w:val="28"/>
          <w:szCs w:val="28"/>
        </w:rPr>
        <w:t xml:space="preserve"> для планирования</w:t>
      </w:r>
      <w:r w:rsidR="00C54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A72">
        <w:rPr>
          <w:i/>
          <w:sz w:val="28"/>
          <w:szCs w:val="28"/>
        </w:rPr>
        <w:t xml:space="preserve">В связи с этим, рекомендуем уточнить налоговые поступления по </w:t>
      </w:r>
      <w:r w:rsidR="00DE1A72" w:rsidRPr="00DE1A72">
        <w:rPr>
          <w:i/>
          <w:sz w:val="28"/>
          <w:szCs w:val="28"/>
        </w:rPr>
        <w:t>НДФЛ</w:t>
      </w:r>
      <w:r w:rsidRPr="00DE1A72">
        <w:rPr>
          <w:i/>
          <w:sz w:val="28"/>
          <w:szCs w:val="28"/>
        </w:rPr>
        <w:t xml:space="preserve"> в течение года по итогам декларирования.</w:t>
      </w:r>
    </w:p>
    <w:p w:rsidR="00FC0589" w:rsidRDefault="00FC0589" w:rsidP="002707C8">
      <w:pPr>
        <w:ind w:firstLine="708"/>
        <w:jc w:val="both"/>
        <w:rPr>
          <w:sz w:val="28"/>
          <w:szCs w:val="28"/>
        </w:rPr>
      </w:pPr>
    </w:p>
    <w:p w:rsidR="00C542E5" w:rsidRDefault="00C542E5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C542E5">
        <w:rPr>
          <w:b/>
          <w:i/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 2019 год планиру</w:t>
      </w:r>
      <w:r w:rsidR="00DE1A72">
        <w:rPr>
          <w:sz w:val="28"/>
          <w:szCs w:val="28"/>
        </w:rPr>
        <w:t>ю</w:t>
      </w:r>
      <w:r>
        <w:rPr>
          <w:sz w:val="28"/>
          <w:szCs w:val="28"/>
        </w:rPr>
        <w:t>тся в сумме 1039,6 млн. руб., что на 30 млн. руб. ниже утвержденного плана на 2018 год. При этом следует отметить, что по итогам 2018 год</w:t>
      </w:r>
      <w:r w:rsidR="00294712">
        <w:rPr>
          <w:sz w:val="28"/>
          <w:szCs w:val="28"/>
        </w:rPr>
        <w:t>а</w:t>
      </w:r>
      <w:r>
        <w:rPr>
          <w:sz w:val="28"/>
          <w:szCs w:val="28"/>
        </w:rPr>
        <w:t>, ожидается неисполнение плановых значений по данному источнику на сумму порядка 50 млн. рублей.</w:t>
      </w:r>
    </w:p>
    <w:p w:rsidR="00C542E5" w:rsidRDefault="00A95AE3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</w:t>
      </w:r>
      <w:r w:rsidR="00DE1A72">
        <w:rPr>
          <w:sz w:val="28"/>
          <w:szCs w:val="28"/>
        </w:rPr>
        <w:t>ой</w:t>
      </w:r>
      <w:r>
        <w:rPr>
          <w:sz w:val="28"/>
          <w:szCs w:val="28"/>
        </w:rPr>
        <w:t xml:space="preserve"> снижения поступлений является уто</w:t>
      </w:r>
      <w:r w:rsidR="00AB131F">
        <w:rPr>
          <w:sz w:val="28"/>
          <w:szCs w:val="28"/>
        </w:rPr>
        <w:t xml:space="preserve">чнение суммы налога, исходя из новой кадастровой стоимости земельных участков, окончательная сумма начислений </w:t>
      </w:r>
      <w:r w:rsidR="00C542E5">
        <w:rPr>
          <w:sz w:val="28"/>
          <w:szCs w:val="28"/>
        </w:rPr>
        <w:t xml:space="preserve"> </w:t>
      </w:r>
      <w:r w:rsidR="00AB131F">
        <w:rPr>
          <w:sz w:val="28"/>
          <w:szCs w:val="28"/>
        </w:rPr>
        <w:t>по которой определена в феврале текуще</w:t>
      </w:r>
      <w:r w:rsidR="008F4D25">
        <w:rPr>
          <w:sz w:val="28"/>
          <w:szCs w:val="28"/>
        </w:rPr>
        <w:t>го года. По данным отчета формы</w:t>
      </w:r>
      <w:r w:rsidR="00AB131F">
        <w:rPr>
          <w:sz w:val="28"/>
          <w:szCs w:val="28"/>
        </w:rPr>
        <w:t xml:space="preserve"> 5</w:t>
      </w:r>
      <w:r w:rsidR="00DE1A72">
        <w:rPr>
          <w:sz w:val="28"/>
          <w:szCs w:val="28"/>
        </w:rPr>
        <w:t>-</w:t>
      </w:r>
      <w:r w:rsidR="008F4D25">
        <w:rPr>
          <w:sz w:val="28"/>
          <w:szCs w:val="28"/>
        </w:rPr>
        <w:t>МН</w:t>
      </w:r>
      <w:r w:rsidR="007F4621">
        <w:rPr>
          <w:sz w:val="28"/>
          <w:szCs w:val="28"/>
        </w:rPr>
        <w:t>,</w:t>
      </w:r>
      <w:r w:rsidR="00AB131F">
        <w:rPr>
          <w:sz w:val="28"/>
          <w:szCs w:val="28"/>
        </w:rPr>
        <w:t xml:space="preserve">  сумма начисленного налога за 2017 год сократилась на 209,7 млн. </w:t>
      </w:r>
      <w:r w:rsidR="00D44E2C">
        <w:rPr>
          <w:sz w:val="28"/>
          <w:szCs w:val="28"/>
        </w:rPr>
        <w:t>руб</w:t>
      </w:r>
      <w:r w:rsidR="007F4621">
        <w:rPr>
          <w:sz w:val="28"/>
          <w:szCs w:val="28"/>
        </w:rPr>
        <w:t>.</w:t>
      </w:r>
      <w:r w:rsidR="00AB131F">
        <w:rPr>
          <w:sz w:val="28"/>
          <w:szCs w:val="28"/>
        </w:rPr>
        <w:t xml:space="preserve"> (с 1292,7 млн. руб. до 1083</w:t>
      </w:r>
      <w:r w:rsidR="00D44E2C">
        <w:rPr>
          <w:sz w:val="28"/>
          <w:szCs w:val="28"/>
        </w:rPr>
        <w:t xml:space="preserve"> млн. руб</w:t>
      </w:r>
      <w:r w:rsidR="007F4621">
        <w:rPr>
          <w:sz w:val="28"/>
          <w:szCs w:val="28"/>
        </w:rPr>
        <w:t>.</w:t>
      </w:r>
      <w:r w:rsidR="00D44E2C">
        <w:rPr>
          <w:sz w:val="28"/>
          <w:szCs w:val="28"/>
        </w:rPr>
        <w:t>).</w:t>
      </w:r>
    </w:p>
    <w:p w:rsidR="008F4D25" w:rsidRPr="008F4D25" w:rsidRDefault="00D44E2C" w:rsidP="008F4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снижени</w:t>
      </w:r>
      <w:r w:rsidR="00760D46">
        <w:rPr>
          <w:sz w:val="28"/>
          <w:szCs w:val="28"/>
        </w:rPr>
        <w:t>и</w:t>
      </w:r>
      <w:r>
        <w:rPr>
          <w:sz w:val="28"/>
          <w:szCs w:val="28"/>
        </w:rPr>
        <w:t xml:space="preserve"> начисленной суммы </w:t>
      </w:r>
      <w:r w:rsidR="00663370">
        <w:rPr>
          <w:sz w:val="28"/>
          <w:szCs w:val="28"/>
        </w:rPr>
        <w:t xml:space="preserve">налога сказалось предоставление </w:t>
      </w:r>
      <w:r w:rsidR="00684A60">
        <w:rPr>
          <w:sz w:val="28"/>
          <w:szCs w:val="28"/>
        </w:rPr>
        <w:t>льготы физическим лицам на кадастровую стоимость 6 соток земельного участка, находящегося в собственности одно</w:t>
      </w:r>
      <w:r w:rsidR="008F4D25">
        <w:rPr>
          <w:sz w:val="28"/>
          <w:szCs w:val="28"/>
        </w:rPr>
        <w:t>го налогоплательщика, принятое Ф</w:t>
      </w:r>
      <w:r w:rsidR="00684A60">
        <w:rPr>
          <w:sz w:val="28"/>
          <w:szCs w:val="28"/>
        </w:rPr>
        <w:t>едеральным законом от 28.12.2017 №436</w:t>
      </w:r>
      <w:r w:rsidR="00F51629">
        <w:rPr>
          <w:sz w:val="28"/>
          <w:szCs w:val="28"/>
        </w:rPr>
        <w:t>-ФЗ</w:t>
      </w:r>
      <w:r w:rsidR="00684A60">
        <w:rPr>
          <w:sz w:val="28"/>
          <w:szCs w:val="28"/>
        </w:rPr>
        <w:t>.</w:t>
      </w:r>
    </w:p>
    <w:p w:rsidR="00F51629" w:rsidRDefault="00F51629" w:rsidP="00FE2682">
      <w:pPr>
        <w:ind w:firstLine="708"/>
        <w:jc w:val="both"/>
        <w:rPr>
          <w:b/>
          <w:i/>
          <w:sz w:val="28"/>
          <w:szCs w:val="28"/>
        </w:rPr>
      </w:pPr>
    </w:p>
    <w:p w:rsidR="00E562B5" w:rsidRDefault="00FE2682" w:rsidP="00FE2682">
      <w:pPr>
        <w:ind w:firstLine="708"/>
        <w:jc w:val="both"/>
        <w:rPr>
          <w:sz w:val="28"/>
          <w:szCs w:val="28"/>
        </w:rPr>
      </w:pPr>
      <w:r w:rsidRPr="00CD2DF8">
        <w:rPr>
          <w:b/>
          <w:i/>
          <w:sz w:val="28"/>
          <w:szCs w:val="28"/>
        </w:rPr>
        <w:t xml:space="preserve"> Е</w:t>
      </w:r>
      <w:r>
        <w:rPr>
          <w:b/>
          <w:i/>
          <w:sz w:val="28"/>
          <w:szCs w:val="28"/>
        </w:rPr>
        <w:t>диный налог</w:t>
      </w:r>
      <w:r w:rsidRPr="00AD6C05">
        <w:rPr>
          <w:b/>
          <w:i/>
          <w:sz w:val="28"/>
          <w:szCs w:val="28"/>
        </w:rPr>
        <w:t xml:space="preserve"> на вмененный доход для отдельных видов деятельности  (ЕНВД) </w:t>
      </w:r>
      <w:r>
        <w:rPr>
          <w:sz w:val="28"/>
          <w:szCs w:val="28"/>
        </w:rPr>
        <w:t>в полном размере зачисляется в бюджет города.</w:t>
      </w:r>
      <w:r w:rsidR="00760D46">
        <w:rPr>
          <w:sz w:val="28"/>
          <w:szCs w:val="28"/>
        </w:rPr>
        <w:t xml:space="preserve"> </w:t>
      </w:r>
      <w:r w:rsidR="00760D46">
        <w:rPr>
          <w:sz w:val="28"/>
          <w:szCs w:val="28"/>
        </w:rPr>
        <w:lastRenderedPageBreak/>
        <w:t>Несмотря на то, что</w:t>
      </w:r>
      <w:r>
        <w:rPr>
          <w:sz w:val="28"/>
          <w:szCs w:val="28"/>
        </w:rPr>
        <w:t xml:space="preserve"> </w:t>
      </w:r>
      <w:r w:rsidR="00760D46">
        <w:rPr>
          <w:sz w:val="28"/>
          <w:szCs w:val="28"/>
        </w:rPr>
        <w:t>с</w:t>
      </w:r>
      <w:r>
        <w:rPr>
          <w:sz w:val="28"/>
          <w:szCs w:val="28"/>
        </w:rPr>
        <w:t>рок действия специального налогового режима в виде ЕНВД федеральным законодательством продлен до 2021 года, поступления по данному налоговому источнику</w:t>
      </w:r>
      <w:r w:rsidR="00760D46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постепенно снижаются.</w:t>
      </w:r>
    </w:p>
    <w:p w:rsidR="00953ABC" w:rsidRPr="00953ABC" w:rsidRDefault="00953ABC" w:rsidP="00FE2682">
      <w:pPr>
        <w:ind w:firstLine="708"/>
        <w:jc w:val="both"/>
        <w:rPr>
          <w:sz w:val="28"/>
          <w:szCs w:val="28"/>
        </w:rPr>
      </w:pPr>
    </w:p>
    <w:p w:rsidR="00FE2682" w:rsidRDefault="00953ABC" w:rsidP="00953ABC">
      <w:pPr>
        <w:ind w:firstLine="708"/>
        <w:jc w:val="right"/>
        <w:rPr>
          <w:sz w:val="24"/>
          <w:szCs w:val="24"/>
        </w:rPr>
      </w:pPr>
      <w:r w:rsidRPr="00953ABC">
        <w:rPr>
          <w:sz w:val="24"/>
          <w:szCs w:val="24"/>
        </w:rPr>
        <w:t>млн. руб.</w:t>
      </w:r>
    </w:p>
    <w:p w:rsidR="00E562B5" w:rsidRDefault="00FE2682" w:rsidP="002707C8">
      <w:pPr>
        <w:ind w:firstLine="708"/>
        <w:jc w:val="both"/>
        <w:rPr>
          <w:color w:val="FF0000"/>
          <w:sz w:val="28"/>
          <w:szCs w:val="28"/>
        </w:rPr>
      </w:pPr>
      <w:r w:rsidRPr="00E562B5">
        <w:rPr>
          <w:noProof/>
          <w:color w:val="FF0000"/>
          <w:sz w:val="28"/>
          <w:szCs w:val="28"/>
        </w:rPr>
        <w:drawing>
          <wp:inline distT="0" distB="0" distL="0" distR="0" wp14:anchorId="43BFB2EE" wp14:editId="2C403412">
            <wp:extent cx="4972050" cy="2743200"/>
            <wp:effectExtent l="0" t="0" r="19050" b="1905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62B5" w:rsidRDefault="00E562B5" w:rsidP="002707C8">
      <w:pPr>
        <w:ind w:firstLine="708"/>
        <w:jc w:val="both"/>
        <w:rPr>
          <w:color w:val="FF0000"/>
          <w:sz w:val="28"/>
          <w:szCs w:val="28"/>
          <w:lang w:val="en-US"/>
        </w:rPr>
      </w:pPr>
    </w:p>
    <w:p w:rsidR="00A77F15" w:rsidRDefault="00A77F15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ожидается невыполнение плановых назначений на 60,5 млн. руб</w:t>
      </w:r>
      <w:r w:rsidR="00271473">
        <w:rPr>
          <w:sz w:val="28"/>
          <w:szCs w:val="28"/>
        </w:rPr>
        <w:t>.</w:t>
      </w:r>
      <w:r>
        <w:rPr>
          <w:sz w:val="28"/>
          <w:szCs w:val="28"/>
        </w:rPr>
        <w:t xml:space="preserve"> (план 310,5 млн. руб., ожидаемое исполнение 250,0 млн. руб.). На 2019 год поступление ЕНВД запланировано в сумме 247,8 млн. руб</w:t>
      </w:r>
      <w:r w:rsidR="00271473">
        <w:rPr>
          <w:sz w:val="28"/>
          <w:szCs w:val="28"/>
        </w:rPr>
        <w:t>.</w:t>
      </w:r>
      <w:r>
        <w:rPr>
          <w:sz w:val="28"/>
          <w:szCs w:val="28"/>
        </w:rPr>
        <w:t>, доля ЕНВД в объеме собственных доходов сократится с 7 до 5 процентов.</w:t>
      </w:r>
    </w:p>
    <w:p w:rsidR="00FC0589" w:rsidRDefault="00FC0589" w:rsidP="002707C8">
      <w:pPr>
        <w:ind w:firstLine="708"/>
        <w:jc w:val="both"/>
        <w:rPr>
          <w:sz w:val="28"/>
          <w:szCs w:val="28"/>
        </w:rPr>
      </w:pPr>
    </w:p>
    <w:p w:rsidR="00A77F15" w:rsidRDefault="00267D20" w:rsidP="0027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Выпадающие доходы от снижения поступлений ЕНВД частично компенсируются при</w:t>
      </w:r>
      <w:r w:rsidR="00760D46">
        <w:rPr>
          <w:sz w:val="28"/>
          <w:szCs w:val="28"/>
        </w:rPr>
        <w:t xml:space="preserve">менением </w:t>
      </w:r>
      <w:r w:rsidRPr="00267D20">
        <w:rPr>
          <w:b/>
          <w:i/>
          <w:sz w:val="28"/>
          <w:szCs w:val="28"/>
        </w:rPr>
        <w:t>патентной системы налогообложения</w:t>
      </w:r>
      <w:r>
        <w:rPr>
          <w:sz w:val="28"/>
          <w:szCs w:val="28"/>
        </w:rPr>
        <w:t>. Количество выданных патентов с 2014</w:t>
      </w:r>
      <w:r w:rsidR="00FE4E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2018 год возросло более чем в 3 раза, сумма платежей с 7,3 млн. руб. до 30,2 млн. рублей. На 2019 год запланированы поступления в сумме 34,4 млн. руб., с последующ</w:t>
      </w:r>
      <w:r w:rsidR="00DE1A72">
        <w:rPr>
          <w:sz w:val="28"/>
          <w:szCs w:val="28"/>
        </w:rPr>
        <w:t>и</w:t>
      </w:r>
      <w:r>
        <w:rPr>
          <w:sz w:val="28"/>
          <w:szCs w:val="28"/>
        </w:rPr>
        <w:t>м ежегодным ростом на 10 процентов.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доля поступлений по данному доходному источнику</w:t>
      </w:r>
      <w:r w:rsidR="00DE1A72">
        <w:rPr>
          <w:sz w:val="28"/>
          <w:szCs w:val="28"/>
        </w:rPr>
        <w:t xml:space="preserve"> в объеме доходов бюджета</w:t>
      </w:r>
      <w:r>
        <w:rPr>
          <w:sz w:val="28"/>
          <w:szCs w:val="28"/>
        </w:rPr>
        <w:t xml:space="preserve"> остается весьма незначительной, менее </w:t>
      </w:r>
      <w:r w:rsidR="00760D4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процента.</w:t>
      </w:r>
    </w:p>
    <w:p w:rsidR="00267D20" w:rsidRDefault="00267D20" w:rsidP="002707C8">
      <w:pPr>
        <w:ind w:firstLine="708"/>
        <w:jc w:val="both"/>
        <w:rPr>
          <w:sz w:val="28"/>
          <w:szCs w:val="28"/>
        </w:rPr>
      </w:pPr>
      <w:r w:rsidRPr="00760D46">
        <w:rPr>
          <w:i/>
          <w:sz w:val="28"/>
          <w:szCs w:val="28"/>
        </w:rPr>
        <w:t xml:space="preserve">Значительным резервом роста поступлений патентных платежей должно стать вовлечение в систему налогообложения </w:t>
      </w:r>
      <w:proofErr w:type="spellStart"/>
      <w:r w:rsidRPr="00760D46">
        <w:rPr>
          <w:i/>
          <w:sz w:val="28"/>
          <w:szCs w:val="28"/>
        </w:rPr>
        <w:t>самозанятых</w:t>
      </w:r>
      <w:proofErr w:type="spellEnd"/>
      <w:r w:rsidRPr="00760D46">
        <w:rPr>
          <w:i/>
          <w:sz w:val="28"/>
          <w:szCs w:val="28"/>
        </w:rPr>
        <w:t xml:space="preserve"> слоев населения, выявление и ужесточение санкций за занятие незаконной предпринимательской деятельностью</w:t>
      </w:r>
      <w:r>
        <w:rPr>
          <w:sz w:val="28"/>
          <w:szCs w:val="28"/>
        </w:rPr>
        <w:t>.</w:t>
      </w:r>
    </w:p>
    <w:p w:rsidR="00D9036F" w:rsidRDefault="00D9036F" w:rsidP="002707C8">
      <w:pPr>
        <w:ind w:firstLine="708"/>
        <w:jc w:val="both"/>
        <w:rPr>
          <w:sz w:val="28"/>
          <w:szCs w:val="28"/>
        </w:rPr>
      </w:pPr>
    </w:p>
    <w:p w:rsidR="00267D20" w:rsidRPr="00A77F15" w:rsidRDefault="00E17076" w:rsidP="002707C8">
      <w:pPr>
        <w:ind w:firstLine="708"/>
        <w:jc w:val="both"/>
        <w:rPr>
          <w:sz w:val="28"/>
          <w:szCs w:val="28"/>
        </w:rPr>
      </w:pPr>
      <w:r w:rsidRPr="001E0BC9">
        <w:rPr>
          <w:color w:val="000000" w:themeColor="text1"/>
          <w:sz w:val="28"/>
          <w:szCs w:val="28"/>
        </w:rPr>
        <w:t xml:space="preserve">Поступления </w:t>
      </w:r>
      <w:r w:rsidRPr="001E0BC9">
        <w:rPr>
          <w:b/>
          <w:i/>
          <w:color w:val="000000" w:themeColor="text1"/>
          <w:sz w:val="28"/>
          <w:szCs w:val="28"/>
        </w:rPr>
        <w:t>налога на имущество физических лиц</w:t>
      </w:r>
      <w:r w:rsidRPr="001E0BC9">
        <w:rPr>
          <w:color w:val="000000" w:themeColor="text1"/>
          <w:sz w:val="28"/>
          <w:szCs w:val="28"/>
        </w:rPr>
        <w:t xml:space="preserve"> планируют</w:t>
      </w:r>
      <w:r>
        <w:rPr>
          <w:color w:val="000000" w:themeColor="text1"/>
          <w:sz w:val="28"/>
          <w:szCs w:val="28"/>
        </w:rPr>
        <w:t>ся в сумме 230,5 млн. руб., что  на 34,1 млн. руб. или на 17,4</w:t>
      </w:r>
      <w:r w:rsidRPr="001E0BC9">
        <w:rPr>
          <w:color w:val="000000" w:themeColor="text1"/>
          <w:sz w:val="28"/>
          <w:szCs w:val="28"/>
        </w:rPr>
        <w:t>% выше ожидаемых поступлений текущего года.</w:t>
      </w:r>
    </w:p>
    <w:p w:rsidR="00E562B5" w:rsidRDefault="003C5042" w:rsidP="002707C8">
      <w:pPr>
        <w:ind w:firstLine="708"/>
        <w:jc w:val="both"/>
        <w:rPr>
          <w:sz w:val="28"/>
          <w:szCs w:val="28"/>
        </w:rPr>
      </w:pPr>
      <w:r w:rsidRPr="003C5042">
        <w:rPr>
          <w:sz w:val="28"/>
          <w:szCs w:val="28"/>
        </w:rPr>
        <w:t xml:space="preserve">При расчете поступлений </w:t>
      </w:r>
      <w:r>
        <w:rPr>
          <w:sz w:val="28"/>
          <w:szCs w:val="28"/>
        </w:rPr>
        <w:t>налога учтено определение налоговой базы по налогу на имущество физических лиц с 1 января 2018 года, исходя из кадастровой стоимости объектов налогообложения.</w:t>
      </w:r>
    </w:p>
    <w:p w:rsidR="003C5042" w:rsidRPr="00DE1A72" w:rsidRDefault="005456B5" w:rsidP="002707C8">
      <w:pPr>
        <w:ind w:firstLine="708"/>
        <w:jc w:val="both"/>
        <w:rPr>
          <w:i/>
          <w:sz w:val="28"/>
          <w:szCs w:val="28"/>
        </w:rPr>
      </w:pPr>
      <w:r w:rsidRPr="00DE1A72">
        <w:rPr>
          <w:i/>
          <w:sz w:val="28"/>
          <w:szCs w:val="28"/>
        </w:rPr>
        <w:t xml:space="preserve">Следует отметить, что формирование налоговой базы претерпело фундаментальные изменения и в планировании прогноза поступлений </w:t>
      </w:r>
      <w:r w:rsidR="00DD68EC">
        <w:rPr>
          <w:i/>
          <w:sz w:val="28"/>
          <w:szCs w:val="28"/>
        </w:rPr>
        <w:t xml:space="preserve">налога </w:t>
      </w:r>
      <w:r w:rsidR="00DD68EC">
        <w:rPr>
          <w:i/>
          <w:sz w:val="28"/>
          <w:szCs w:val="28"/>
        </w:rPr>
        <w:lastRenderedPageBreak/>
        <w:t xml:space="preserve">на имущество физических лиц </w:t>
      </w:r>
      <w:r w:rsidRPr="00DE1A72">
        <w:rPr>
          <w:i/>
          <w:sz w:val="28"/>
          <w:szCs w:val="28"/>
        </w:rPr>
        <w:t>может быть допущена значительная погрешность. В</w:t>
      </w:r>
      <w:r w:rsidR="00DE1A72" w:rsidRPr="00DE1A72">
        <w:rPr>
          <w:i/>
          <w:sz w:val="28"/>
          <w:szCs w:val="28"/>
        </w:rPr>
        <w:t xml:space="preserve"> целях </w:t>
      </w:r>
      <w:proofErr w:type="spellStart"/>
      <w:r w:rsidR="00DE1A72" w:rsidRPr="00DE1A72">
        <w:rPr>
          <w:i/>
          <w:sz w:val="28"/>
          <w:szCs w:val="28"/>
        </w:rPr>
        <w:t>избежания</w:t>
      </w:r>
      <w:proofErr w:type="spellEnd"/>
      <w:r w:rsidR="00DE1A72" w:rsidRPr="00DE1A72">
        <w:rPr>
          <w:i/>
          <w:sz w:val="28"/>
          <w:szCs w:val="28"/>
        </w:rPr>
        <w:t xml:space="preserve"> </w:t>
      </w:r>
      <w:r w:rsidRPr="00DE1A72">
        <w:rPr>
          <w:i/>
          <w:sz w:val="28"/>
          <w:szCs w:val="28"/>
        </w:rPr>
        <w:t xml:space="preserve"> </w:t>
      </w:r>
      <w:r w:rsidR="00DE1A72" w:rsidRPr="00DE1A72">
        <w:rPr>
          <w:i/>
          <w:sz w:val="28"/>
          <w:szCs w:val="28"/>
        </w:rPr>
        <w:t xml:space="preserve">рисков </w:t>
      </w:r>
      <w:r w:rsidRPr="00DE1A72">
        <w:rPr>
          <w:i/>
          <w:sz w:val="28"/>
          <w:szCs w:val="28"/>
        </w:rPr>
        <w:t>неисполнени</w:t>
      </w:r>
      <w:r w:rsidR="00FE4EA7" w:rsidRPr="00DE1A72">
        <w:rPr>
          <w:i/>
          <w:sz w:val="28"/>
          <w:szCs w:val="28"/>
        </w:rPr>
        <w:t>я плановых назначений 2019 года</w:t>
      </w:r>
      <w:r w:rsidR="00760D46" w:rsidRPr="00DE1A72">
        <w:rPr>
          <w:i/>
          <w:sz w:val="28"/>
          <w:szCs w:val="28"/>
        </w:rPr>
        <w:t xml:space="preserve"> и своевременного выявления дополнительных доходов бюджета</w:t>
      </w:r>
      <w:r w:rsidR="00FE4EA7" w:rsidRPr="00DE1A72">
        <w:rPr>
          <w:i/>
          <w:sz w:val="28"/>
          <w:szCs w:val="28"/>
        </w:rPr>
        <w:t>,</w:t>
      </w:r>
      <w:r w:rsidRPr="00DE1A72">
        <w:rPr>
          <w:i/>
          <w:sz w:val="28"/>
          <w:szCs w:val="28"/>
        </w:rPr>
        <w:t xml:space="preserve"> предлагаем уточнить прогноз поступлений налога по мере получения информации о начислен</w:t>
      </w:r>
      <w:r w:rsidR="00DD68EC">
        <w:rPr>
          <w:i/>
          <w:sz w:val="28"/>
          <w:szCs w:val="28"/>
        </w:rPr>
        <w:t xml:space="preserve">ной сумме </w:t>
      </w:r>
      <w:r w:rsidRPr="00DE1A72">
        <w:rPr>
          <w:i/>
          <w:sz w:val="28"/>
          <w:szCs w:val="28"/>
        </w:rPr>
        <w:t xml:space="preserve"> за 2018 год.</w:t>
      </w:r>
    </w:p>
    <w:p w:rsidR="00D9036F" w:rsidRDefault="00D9036F" w:rsidP="00D9036F">
      <w:pPr>
        <w:ind w:firstLine="709"/>
        <w:jc w:val="both"/>
        <w:rPr>
          <w:color w:val="000000" w:themeColor="text1"/>
          <w:sz w:val="28"/>
          <w:szCs w:val="28"/>
        </w:rPr>
      </w:pPr>
    </w:p>
    <w:p w:rsidR="00D9036F" w:rsidRPr="001E0BC9" w:rsidRDefault="00D9036F" w:rsidP="00D903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структуре собственных доходных источников бюджета важная роль отводится </w:t>
      </w:r>
      <w:r w:rsidRPr="008116D2">
        <w:rPr>
          <w:b/>
          <w:i/>
          <w:color w:val="000000" w:themeColor="text1"/>
          <w:sz w:val="28"/>
          <w:szCs w:val="28"/>
        </w:rPr>
        <w:t>неналоговым доходам</w:t>
      </w:r>
      <w:r>
        <w:rPr>
          <w:color w:val="000000" w:themeColor="text1"/>
          <w:sz w:val="28"/>
          <w:szCs w:val="28"/>
        </w:rPr>
        <w:t>, к которым относятся: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арендная плата за землю;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доходы от аренды имущества муниципальной казны;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плата за негативное воздействие на окружающую среду; 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доходы от продажи материальных и нематериальных активов;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доходы от штрафов, санкций и прочие поступления.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 поступления неналоговых доходов планируются в сумме 718,4 млн. руб., что составляет 15,6% собственных доходов бюджета города.</w:t>
      </w: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</w:t>
      </w:r>
      <w:proofErr w:type="gramStart"/>
      <w:r w:rsidR="00760D46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по ожидаемой оценке департамента финансов администрации города</w:t>
      </w:r>
      <w:r w:rsidR="00FE4EA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поступления неналоговых доходов в 201</w:t>
      </w:r>
      <w:r w:rsidR="00FE4EA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году, составят порядка 740 млн. рублей.</w:t>
      </w:r>
    </w:p>
    <w:p w:rsidR="00192428" w:rsidRDefault="00192428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D9036F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сумма неналоговых доходов поступает в виде </w:t>
      </w:r>
      <w:r w:rsidRPr="00931FC5">
        <w:rPr>
          <w:b/>
          <w:i/>
          <w:color w:val="000000" w:themeColor="text1"/>
          <w:sz w:val="28"/>
          <w:szCs w:val="28"/>
        </w:rPr>
        <w:t>арендной платы за землю</w:t>
      </w:r>
      <w:r>
        <w:rPr>
          <w:color w:val="000000" w:themeColor="text1"/>
          <w:sz w:val="28"/>
          <w:szCs w:val="28"/>
        </w:rPr>
        <w:t>, доходы по которой  запланированы на каждый год трехлетки в объеме 265,0 млн. рублей.</w:t>
      </w:r>
    </w:p>
    <w:p w:rsidR="00F05F5C" w:rsidRDefault="00D9036F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Поступления в бюджет</w:t>
      </w:r>
      <w:r w:rsidR="00760D46">
        <w:rPr>
          <w:color w:val="000000" w:themeColor="text1"/>
          <w:sz w:val="28"/>
          <w:szCs w:val="28"/>
        </w:rPr>
        <w:t xml:space="preserve"> города</w:t>
      </w:r>
      <w:r>
        <w:rPr>
          <w:color w:val="000000" w:themeColor="text1"/>
          <w:sz w:val="28"/>
          <w:szCs w:val="28"/>
        </w:rPr>
        <w:t xml:space="preserve"> арендной платы за земельные участки, государственная собственность на которые не разграничена, запланированы по данным администратора платежа – Управления имущественных и земельных отношений Липецкой области</w:t>
      </w:r>
      <w:r w:rsidR="00760D4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уровне ожидаемого исполнения 2018 года</w:t>
      </w:r>
      <w:r w:rsidR="00760D4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сумме 250,0 млн. рублей. Арендная плата за земли, находящиеся в муниципальной собственности поступит в сумме 15,0 млн. руб</w:t>
      </w:r>
      <w:r w:rsidR="00F471F7">
        <w:rPr>
          <w:color w:val="000000" w:themeColor="text1"/>
          <w:sz w:val="28"/>
          <w:szCs w:val="28"/>
        </w:rPr>
        <w:t>., при о</w:t>
      </w:r>
      <w:r w:rsidR="00F05F5C">
        <w:rPr>
          <w:color w:val="000000" w:themeColor="text1"/>
          <w:sz w:val="28"/>
          <w:szCs w:val="28"/>
        </w:rPr>
        <w:t>жидаемо</w:t>
      </w:r>
      <w:r w:rsidR="00F471F7">
        <w:rPr>
          <w:color w:val="000000" w:themeColor="text1"/>
          <w:sz w:val="28"/>
          <w:szCs w:val="28"/>
        </w:rPr>
        <w:t>м поступлении</w:t>
      </w:r>
      <w:r w:rsidR="00F05F5C">
        <w:rPr>
          <w:color w:val="000000" w:themeColor="text1"/>
          <w:sz w:val="28"/>
          <w:szCs w:val="28"/>
        </w:rPr>
        <w:t xml:space="preserve">  по итогам текущего года </w:t>
      </w:r>
      <w:r w:rsidR="00FC0589">
        <w:rPr>
          <w:color w:val="000000" w:themeColor="text1"/>
          <w:sz w:val="28"/>
          <w:szCs w:val="28"/>
        </w:rPr>
        <w:t xml:space="preserve"> – 18,0 млн. рублей.</w:t>
      </w:r>
    </w:p>
    <w:p w:rsidR="00192428" w:rsidRDefault="00192428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FC0589" w:rsidRDefault="00FC0589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60D46">
        <w:rPr>
          <w:b/>
          <w:i/>
          <w:color w:val="000000" w:themeColor="text1"/>
          <w:sz w:val="28"/>
          <w:szCs w:val="28"/>
        </w:rPr>
        <w:t>От продажи земельных участков</w:t>
      </w:r>
      <w:r w:rsidR="00F274D2">
        <w:rPr>
          <w:b/>
          <w:i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государственная собственность на которые не разграничена</w:t>
      </w:r>
      <w:r w:rsidR="00F471F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запланированы ежегодные поступления в объеме 15,0 млн. рублей.</w:t>
      </w:r>
    </w:p>
    <w:p w:rsidR="00192428" w:rsidRDefault="00192428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FC0589" w:rsidRDefault="00FC0589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60D46">
        <w:rPr>
          <w:b/>
          <w:i/>
          <w:color w:val="000000" w:themeColor="text1"/>
          <w:sz w:val="28"/>
          <w:szCs w:val="28"/>
        </w:rPr>
        <w:t>Доходы от сдачи в аренду муниципального имущества</w:t>
      </w:r>
      <w:r>
        <w:rPr>
          <w:color w:val="000000" w:themeColor="text1"/>
          <w:sz w:val="28"/>
          <w:szCs w:val="28"/>
        </w:rPr>
        <w:t xml:space="preserve"> запланированы на 2019 год и плановый период 2020-2021 годов в </w:t>
      </w:r>
      <w:r w:rsidR="00760D46">
        <w:rPr>
          <w:color w:val="000000" w:themeColor="text1"/>
          <w:sz w:val="28"/>
          <w:szCs w:val="28"/>
        </w:rPr>
        <w:t>сумме</w:t>
      </w:r>
      <w:r>
        <w:rPr>
          <w:color w:val="000000" w:themeColor="text1"/>
          <w:sz w:val="28"/>
          <w:szCs w:val="28"/>
        </w:rPr>
        <w:t xml:space="preserve"> 53,6 млн. руб.</w:t>
      </w:r>
      <w:r w:rsidR="00760D46">
        <w:rPr>
          <w:color w:val="000000" w:themeColor="text1"/>
          <w:sz w:val="28"/>
          <w:szCs w:val="28"/>
        </w:rPr>
        <w:t xml:space="preserve"> в год.</w:t>
      </w:r>
    </w:p>
    <w:p w:rsidR="00B20E79" w:rsidRDefault="00B20E79" w:rsidP="00B20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о</w:t>
      </w:r>
      <w:r w:rsidRPr="001B3B94">
        <w:rPr>
          <w:sz w:val="28"/>
          <w:szCs w:val="28"/>
        </w:rPr>
        <w:t>сновную долю</w:t>
      </w:r>
      <w:r>
        <w:rPr>
          <w:sz w:val="28"/>
          <w:szCs w:val="28"/>
        </w:rPr>
        <w:t xml:space="preserve"> (45 млн. руб. или 93%)</w:t>
      </w:r>
      <w:r w:rsidRPr="001B3B94">
        <w:rPr>
          <w:sz w:val="28"/>
          <w:szCs w:val="28"/>
        </w:rPr>
        <w:t xml:space="preserve"> занимают доходы от сдачи в аренду имущества, составляющего муниципальную казну. </w:t>
      </w:r>
      <w:r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и муниципальных казенных учреждений, составят около 3,</w:t>
      </w:r>
      <w:r w:rsidR="00901DD9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руб. в год.</w:t>
      </w:r>
    </w:p>
    <w:p w:rsidR="00E53528" w:rsidRDefault="00E53528" w:rsidP="00E53528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 w:rsidRPr="00E53528">
        <w:rPr>
          <w:i/>
          <w:color w:val="000000" w:themeColor="text1"/>
          <w:sz w:val="28"/>
          <w:szCs w:val="28"/>
        </w:rPr>
        <w:t>Следует отметить, что</w:t>
      </w:r>
      <w:r w:rsidR="0027129B">
        <w:rPr>
          <w:i/>
          <w:color w:val="000000" w:themeColor="text1"/>
          <w:sz w:val="28"/>
          <w:szCs w:val="28"/>
        </w:rPr>
        <w:t>,</w:t>
      </w:r>
      <w:r w:rsidRPr="00E53528">
        <w:rPr>
          <w:i/>
          <w:color w:val="000000" w:themeColor="text1"/>
          <w:sz w:val="28"/>
          <w:szCs w:val="28"/>
        </w:rPr>
        <w:t xml:space="preserve"> несмотря на то, что прогноз поступлений по данному доходному источнику формируется в основном исходя из фактически действующих договоров аренды, на протяжении ряда последних лет отмечается значительная погрешность при их планировании. Так, при </w:t>
      </w:r>
      <w:r w:rsidRPr="00E53528">
        <w:rPr>
          <w:i/>
          <w:color w:val="000000" w:themeColor="text1"/>
          <w:sz w:val="28"/>
          <w:szCs w:val="28"/>
        </w:rPr>
        <w:lastRenderedPageBreak/>
        <w:t>планировании поступлений на 2018</w:t>
      </w:r>
      <w:r>
        <w:rPr>
          <w:i/>
          <w:color w:val="000000" w:themeColor="text1"/>
          <w:sz w:val="28"/>
          <w:szCs w:val="28"/>
        </w:rPr>
        <w:t xml:space="preserve"> год в объеме 4</w:t>
      </w:r>
      <w:r w:rsidRPr="00E53528">
        <w:rPr>
          <w:i/>
          <w:color w:val="000000" w:themeColor="text1"/>
          <w:sz w:val="28"/>
          <w:szCs w:val="28"/>
        </w:rPr>
        <w:t>5 млн. руб., фактическое исполнение за 9 месяцев уже составило более 55</w:t>
      </w:r>
      <w:r>
        <w:rPr>
          <w:i/>
          <w:color w:val="000000" w:themeColor="text1"/>
          <w:sz w:val="28"/>
          <w:szCs w:val="28"/>
        </w:rPr>
        <w:t xml:space="preserve"> млн. руб</w:t>
      </w:r>
      <w:r w:rsidR="00FE4EA7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>,</w:t>
      </w:r>
      <w:r w:rsidR="0015568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 ожидаемое поступление за год прогнозируется</w:t>
      </w:r>
      <w:r w:rsidR="00FE4EA7">
        <w:rPr>
          <w:i/>
          <w:color w:val="000000" w:themeColor="text1"/>
          <w:sz w:val="28"/>
          <w:szCs w:val="28"/>
        </w:rPr>
        <w:t xml:space="preserve"> - </w:t>
      </w:r>
      <w:r>
        <w:rPr>
          <w:i/>
          <w:color w:val="000000" w:themeColor="text1"/>
          <w:sz w:val="28"/>
          <w:szCs w:val="28"/>
        </w:rPr>
        <w:t>60 млн. рублей.</w:t>
      </w:r>
    </w:p>
    <w:p w:rsidR="00E53528" w:rsidRDefault="00E53528" w:rsidP="00E5352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15568B" w:rsidRPr="0015568B" w:rsidRDefault="0015568B" w:rsidP="00E5352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15568B">
        <w:rPr>
          <w:b/>
          <w:i/>
          <w:color w:val="000000" w:themeColor="text1"/>
          <w:sz w:val="28"/>
          <w:szCs w:val="28"/>
        </w:rPr>
        <w:t>Доходы от реализации имущества, находящегося в муниципальной собственности</w:t>
      </w:r>
      <w:r w:rsidRPr="001556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(кроме земли) запланированы на 2019 год в объеме 140,0 млн. руб., на плановый период 2020 и 2021 годов – 63,0 млн. руб. и 45,0 млн. руб. соответственно.</w:t>
      </w:r>
    </w:p>
    <w:p w:rsidR="00FC0589" w:rsidRDefault="0015568B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поступления запланированы от продажи имущества муниципальной казны.</w:t>
      </w:r>
    </w:p>
    <w:p w:rsidR="0015568B" w:rsidRDefault="0015568B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Прогнозным планом (Программой) приватизации муниципального имущества на 2019 год к реализации предложено 57 объектов недвижимости, </w:t>
      </w:r>
      <w:proofErr w:type="gramStart"/>
      <w:r>
        <w:rPr>
          <w:color w:val="000000" w:themeColor="text1"/>
          <w:sz w:val="28"/>
          <w:szCs w:val="28"/>
        </w:rPr>
        <w:t>поступления</w:t>
      </w:r>
      <w:proofErr w:type="gramEnd"/>
      <w:r>
        <w:rPr>
          <w:color w:val="000000" w:themeColor="text1"/>
          <w:sz w:val="28"/>
          <w:szCs w:val="28"/>
        </w:rPr>
        <w:t xml:space="preserve"> от продажи которых должны составить 70 млн. рублей. Кроме того, запланирована приватизация пакетов акций  двух акционерных обществ со стопроцентной долей муниципалитета</w:t>
      </w:r>
      <w:r w:rsidR="00F5162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АО «Липецкая недвижимость» и АО «Бином-ТВ», </w:t>
      </w:r>
      <w:r w:rsidR="00EE70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номинальная стоимость акций которых</w:t>
      </w:r>
      <w:r w:rsidR="00EE702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составляет 28,2 млн. рублей.</w:t>
      </w:r>
      <w:r w:rsidR="00AB02F9">
        <w:rPr>
          <w:color w:val="000000" w:themeColor="text1"/>
          <w:sz w:val="28"/>
          <w:szCs w:val="28"/>
        </w:rPr>
        <w:t xml:space="preserve"> </w:t>
      </w:r>
      <w:r w:rsidR="00AB02F9" w:rsidRPr="00AB02F9">
        <w:rPr>
          <w:i/>
          <w:color w:val="000000" w:themeColor="text1"/>
          <w:sz w:val="28"/>
          <w:szCs w:val="28"/>
        </w:rPr>
        <w:t>С целью получения максимально возможных доходов от п</w:t>
      </w:r>
      <w:r w:rsidR="00902F37">
        <w:rPr>
          <w:i/>
          <w:color w:val="000000" w:themeColor="text1"/>
          <w:sz w:val="28"/>
          <w:szCs w:val="28"/>
        </w:rPr>
        <w:t>родажи</w:t>
      </w:r>
      <w:r w:rsidR="00AB02F9" w:rsidRPr="00AB02F9">
        <w:rPr>
          <w:i/>
          <w:color w:val="000000" w:themeColor="text1"/>
          <w:sz w:val="28"/>
          <w:szCs w:val="28"/>
        </w:rPr>
        <w:t xml:space="preserve"> акций</w:t>
      </w:r>
      <w:r w:rsidR="00902F37">
        <w:rPr>
          <w:i/>
          <w:color w:val="000000" w:themeColor="text1"/>
          <w:sz w:val="28"/>
          <w:szCs w:val="28"/>
        </w:rPr>
        <w:t>,</w:t>
      </w:r>
      <w:r w:rsidR="00AB02F9" w:rsidRPr="00AB02F9">
        <w:rPr>
          <w:i/>
          <w:color w:val="000000" w:themeColor="text1"/>
          <w:sz w:val="28"/>
          <w:szCs w:val="28"/>
        </w:rPr>
        <w:t xml:space="preserve"> необходимо</w:t>
      </w:r>
      <w:r w:rsidR="00902F37">
        <w:rPr>
          <w:i/>
          <w:color w:val="000000" w:themeColor="text1"/>
          <w:sz w:val="28"/>
          <w:szCs w:val="28"/>
        </w:rPr>
        <w:t xml:space="preserve"> обеспечить</w:t>
      </w:r>
      <w:r w:rsidR="00AB02F9" w:rsidRPr="00AB02F9">
        <w:rPr>
          <w:i/>
          <w:color w:val="000000" w:themeColor="text1"/>
          <w:sz w:val="28"/>
          <w:szCs w:val="28"/>
        </w:rPr>
        <w:t xml:space="preserve"> </w:t>
      </w:r>
      <w:r w:rsidR="00EE7021">
        <w:rPr>
          <w:i/>
          <w:color w:val="000000" w:themeColor="text1"/>
          <w:sz w:val="28"/>
          <w:szCs w:val="28"/>
        </w:rPr>
        <w:t>достоверную рыночную</w:t>
      </w:r>
      <w:r w:rsidR="00AB02F9" w:rsidRPr="00AB02F9">
        <w:rPr>
          <w:i/>
          <w:color w:val="000000" w:themeColor="text1"/>
          <w:sz w:val="28"/>
          <w:szCs w:val="28"/>
        </w:rPr>
        <w:t xml:space="preserve"> оценк</w:t>
      </w:r>
      <w:r w:rsidR="00EE7021">
        <w:rPr>
          <w:i/>
          <w:color w:val="000000" w:themeColor="text1"/>
          <w:sz w:val="28"/>
          <w:szCs w:val="28"/>
        </w:rPr>
        <w:t>у</w:t>
      </w:r>
      <w:r w:rsidR="00AB02F9" w:rsidRPr="00AB02F9">
        <w:rPr>
          <w:i/>
          <w:color w:val="000000" w:themeColor="text1"/>
          <w:sz w:val="28"/>
          <w:szCs w:val="28"/>
        </w:rPr>
        <w:t xml:space="preserve"> </w:t>
      </w:r>
      <w:r w:rsidR="00F471F7">
        <w:rPr>
          <w:i/>
          <w:color w:val="000000" w:themeColor="text1"/>
          <w:sz w:val="28"/>
          <w:szCs w:val="28"/>
        </w:rPr>
        <w:t xml:space="preserve"> их </w:t>
      </w:r>
      <w:r w:rsidR="00AB02F9" w:rsidRPr="00AB02F9">
        <w:rPr>
          <w:i/>
          <w:color w:val="000000" w:themeColor="text1"/>
          <w:sz w:val="28"/>
          <w:szCs w:val="28"/>
        </w:rPr>
        <w:t>стоимости</w:t>
      </w:r>
      <w:r w:rsidR="00AB02F9">
        <w:rPr>
          <w:color w:val="000000" w:themeColor="text1"/>
          <w:sz w:val="28"/>
          <w:szCs w:val="28"/>
        </w:rPr>
        <w:t>.</w:t>
      </w:r>
    </w:p>
    <w:p w:rsidR="00192428" w:rsidRDefault="00192428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965D00" w:rsidRDefault="00965D00" w:rsidP="00965D0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965D00">
        <w:rPr>
          <w:b/>
          <w:i/>
          <w:color w:val="000000" w:themeColor="text1"/>
          <w:sz w:val="28"/>
          <w:szCs w:val="28"/>
        </w:rPr>
        <w:t xml:space="preserve">Доходы от перечисления </w:t>
      </w:r>
      <w:proofErr w:type="gramStart"/>
      <w:r w:rsidRPr="00965D00">
        <w:rPr>
          <w:b/>
          <w:i/>
          <w:color w:val="000000" w:themeColor="text1"/>
          <w:sz w:val="28"/>
          <w:szCs w:val="28"/>
        </w:rPr>
        <w:t>части прибыли, остающейся после уплаты налогов и иных обязательных платежей муниципальных унитарных предприятий</w:t>
      </w:r>
      <w:r w:rsidRPr="00965D00">
        <w:rPr>
          <w:color w:val="000000" w:themeColor="text1"/>
          <w:sz w:val="28"/>
          <w:szCs w:val="28"/>
        </w:rPr>
        <w:t xml:space="preserve"> запланированы</w:t>
      </w:r>
      <w:proofErr w:type="gramEnd"/>
      <w:r w:rsidRPr="00965D00">
        <w:rPr>
          <w:color w:val="000000" w:themeColor="text1"/>
          <w:sz w:val="28"/>
          <w:szCs w:val="28"/>
        </w:rPr>
        <w:t xml:space="preserve"> на 201</w:t>
      </w:r>
      <w:r>
        <w:rPr>
          <w:color w:val="000000" w:themeColor="text1"/>
          <w:sz w:val="28"/>
          <w:szCs w:val="28"/>
        </w:rPr>
        <w:t>9</w:t>
      </w:r>
      <w:r w:rsidRPr="00965D00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501</w:t>
      </w:r>
      <w:r w:rsidRPr="00965D00">
        <w:rPr>
          <w:color w:val="000000" w:themeColor="text1"/>
          <w:sz w:val="28"/>
          <w:szCs w:val="28"/>
        </w:rPr>
        <w:t xml:space="preserve"> тыс. руб., в 20</w:t>
      </w:r>
      <w:r>
        <w:rPr>
          <w:color w:val="000000" w:themeColor="text1"/>
          <w:sz w:val="28"/>
          <w:szCs w:val="28"/>
        </w:rPr>
        <w:t>20</w:t>
      </w:r>
      <w:r w:rsidRPr="00965D00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1</w:t>
      </w:r>
      <w:r w:rsidRPr="00965D00">
        <w:rPr>
          <w:color w:val="000000" w:themeColor="text1"/>
          <w:sz w:val="28"/>
          <w:szCs w:val="28"/>
        </w:rPr>
        <w:t xml:space="preserve"> годах в суммах </w:t>
      </w:r>
      <w:r w:rsidR="005F6B1B">
        <w:rPr>
          <w:color w:val="000000" w:themeColor="text1"/>
          <w:sz w:val="28"/>
          <w:szCs w:val="28"/>
        </w:rPr>
        <w:t>517,</w:t>
      </w:r>
      <w:r w:rsidRPr="00965D00">
        <w:rPr>
          <w:color w:val="000000" w:themeColor="text1"/>
          <w:sz w:val="28"/>
          <w:szCs w:val="28"/>
        </w:rPr>
        <w:t xml:space="preserve">0 тыс. руб. и </w:t>
      </w:r>
      <w:r w:rsidR="005F6B1B">
        <w:rPr>
          <w:color w:val="000000" w:themeColor="text1"/>
          <w:sz w:val="28"/>
          <w:szCs w:val="28"/>
        </w:rPr>
        <w:t>523</w:t>
      </w:r>
      <w:r w:rsidRPr="00965D00">
        <w:rPr>
          <w:color w:val="000000" w:themeColor="text1"/>
          <w:sz w:val="28"/>
          <w:szCs w:val="28"/>
        </w:rPr>
        <w:t>,0 тыс. руб. соответственно.</w:t>
      </w:r>
    </w:p>
    <w:p w:rsidR="005F6B1B" w:rsidRDefault="00B15E45" w:rsidP="00965D0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дальнейшим реформированием муниципальных унитарных предприятий города, платежи по данному источнику практически не планируются и могут носить </w:t>
      </w:r>
      <w:r w:rsidR="00AB02F9">
        <w:rPr>
          <w:color w:val="000000" w:themeColor="text1"/>
          <w:sz w:val="28"/>
          <w:szCs w:val="28"/>
        </w:rPr>
        <w:t>разовый</w:t>
      </w:r>
      <w:r>
        <w:rPr>
          <w:color w:val="000000" w:themeColor="text1"/>
          <w:sz w:val="28"/>
          <w:szCs w:val="28"/>
        </w:rPr>
        <w:t xml:space="preserve"> характер, связанный со спецификой деятельности предприятий в отдельном финансовом периоде.</w:t>
      </w:r>
    </w:p>
    <w:p w:rsidR="00192428" w:rsidRDefault="00192428" w:rsidP="00965D0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B15E45" w:rsidRDefault="00B15E45" w:rsidP="00965D0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 </w:t>
      </w:r>
      <w:r w:rsidRPr="00B15E45">
        <w:rPr>
          <w:b/>
          <w:i/>
          <w:color w:val="000000" w:themeColor="text1"/>
          <w:sz w:val="28"/>
          <w:szCs w:val="28"/>
        </w:rPr>
        <w:t>платы за негативное воздействие на окружающую среду</w:t>
      </w:r>
      <w:r>
        <w:rPr>
          <w:color w:val="000000" w:themeColor="text1"/>
          <w:sz w:val="28"/>
          <w:szCs w:val="28"/>
        </w:rPr>
        <w:t xml:space="preserve"> представлен администратором данного доходного источника – управлением </w:t>
      </w:r>
      <w:proofErr w:type="spellStart"/>
      <w:r>
        <w:rPr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color w:val="000000" w:themeColor="text1"/>
          <w:sz w:val="28"/>
          <w:szCs w:val="28"/>
        </w:rPr>
        <w:t xml:space="preserve"> по Липецкой области в объеме 24,8 млн. руб. в год. За 9 месяцев текущего года в бюджет города поступили платежи в сумме 28,0 млн. руб., а ожидаемое исполнение по итогам года должно составить 37,7 млн. рублей.</w:t>
      </w:r>
    </w:p>
    <w:p w:rsidR="00192428" w:rsidRDefault="00192428" w:rsidP="00965D0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A842B3" w:rsidRPr="00A842B3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t xml:space="preserve">В составе неналоговых доходов запланированы </w:t>
      </w:r>
      <w:r w:rsidRPr="00A842B3">
        <w:rPr>
          <w:b/>
          <w:i/>
          <w:color w:val="000000" w:themeColor="text1"/>
          <w:sz w:val="28"/>
          <w:szCs w:val="28"/>
        </w:rPr>
        <w:t>штраф</w:t>
      </w:r>
      <w:r w:rsidR="004B7EFB">
        <w:rPr>
          <w:b/>
          <w:i/>
          <w:color w:val="000000" w:themeColor="text1"/>
          <w:sz w:val="28"/>
          <w:szCs w:val="28"/>
        </w:rPr>
        <w:t>ы</w:t>
      </w:r>
      <w:r w:rsidRPr="00A842B3">
        <w:rPr>
          <w:b/>
          <w:i/>
          <w:color w:val="000000" w:themeColor="text1"/>
          <w:sz w:val="28"/>
          <w:szCs w:val="28"/>
        </w:rPr>
        <w:t>, санкци</w:t>
      </w:r>
      <w:r w:rsidR="004B7EFB">
        <w:rPr>
          <w:b/>
          <w:i/>
          <w:color w:val="000000" w:themeColor="text1"/>
          <w:sz w:val="28"/>
          <w:szCs w:val="28"/>
        </w:rPr>
        <w:t>и</w:t>
      </w:r>
      <w:r w:rsidR="00F51629">
        <w:rPr>
          <w:b/>
          <w:i/>
          <w:color w:val="000000" w:themeColor="text1"/>
          <w:sz w:val="28"/>
          <w:szCs w:val="28"/>
        </w:rPr>
        <w:t>,</w:t>
      </w:r>
      <w:r w:rsidRPr="00A842B3">
        <w:rPr>
          <w:b/>
          <w:i/>
          <w:color w:val="000000" w:themeColor="text1"/>
          <w:sz w:val="28"/>
          <w:szCs w:val="28"/>
        </w:rPr>
        <w:t xml:space="preserve"> возмещение ущерба за нарушение правил благоустройства, возмещени</w:t>
      </w:r>
      <w:r w:rsidR="004B7EFB">
        <w:rPr>
          <w:b/>
          <w:i/>
          <w:color w:val="000000" w:themeColor="text1"/>
          <w:sz w:val="28"/>
          <w:szCs w:val="28"/>
        </w:rPr>
        <w:t xml:space="preserve">е </w:t>
      </w:r>
      <w:r w:rsidRPr="00A842B3">
        <w:rPr>
          <w:b/>
          <w:i/>
          <w:color w:val="000000" w:themeColor="text1"/>
          <w:sz w:val="28"/>
          <w:szCs w:val="28"/>
        </w:rPr>
        <w:t>вреда, причиненного за перевозку тяжеловесных и крупногабаритных грузов и др.</w:t>
      </w:r>
      <w:r w:rsidRPr="00A842B3">
        <w:rPr>
          <w:color w:val="000000" w:themeColor="text1"/>
          <w:sz w:val="28"/>
          <w:szCs w:val="28"/>
        </w:rPr>
        <w:t xml:space="preserve"> в суммах:</w:t>
      </w:r>
    </w:p>
    <w:p w:rsidR="00A842B3" w:rsidRPr="00A842B3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A842B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167,2</w:t>
      </w:r>
      <w:r w:rsidRPr="00A842B3">
        <w:rPr>
          <w:color w:val="000000" w:themeColor="text1"/>
          <w:sz w:val="28"/>
          <w:szCs w:val="28"/>
        </w:rPr>
        <w:t xml:space="preserve"> млн. руб.;</w:t>
      </w:r>
    </w:p>
    <w:p w:rsidR="00A842B3" w:rsidRPr="00A842B3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A842B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178,5</w:t>
      </w:r>
      <w:r w:rsidRPr="00A842B3">
        <w:rPr>
          <w:color w:val="000000" w:themeColor="text1"/>
          <w:sz w:val="28"/>
          <w:szCs w:val="28"/>
        </w:rPr>
        <w:t xml:space="preserve"> млн. руб.;</w:t>
      </w:r>
    </w:p>
    <w:p w:rsidR="00A842B3" w:rsidRPr="00A842B3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1</w:t>
      </w:r>
      <w:r w:rsidRPr="00A842B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190,8</w:t>
      </w:r>
      <w:r w:rsidRPr="00A842B3">
        <w:rPr>
          <w:color w:val="000000" w:themeColor="text1"/>
          <w:sz w:val="28"/>
          <w:szCs w:val="28"/>
        </w:rPr>
        <w:t xml:space="preserve"> млн. рублей.</w:t>
      </w:r>
    </w:p>
    <w:p w:rsidR="00A842B3" w:rsidRPr="00A842B3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t xml:space="preserve">Размер поступлений спрогнозирован из оценки поступлений </w:t>
      </w:r>
      <w:r>
        <w:rPr>
          <w:color w:val="000000" w:themeColor="text1"/>
          <w:sz w:val="28"/>
          <w:szCs w:val="28"/>
        </w:rPr>
        <w:t xml:space="preserve"> текущего</w:t>
      </w:r>
      <w:r w:rsidRPr="00A842B3">
        <w:rPr>
          <w:color w:val="000000" w:themeColor="text1"/>
          <w:sz w:val="28"/>
          <w:szCs w:val="28"/>
        </w:rPr>
        <w:t xml:space="preserve"> года, скорректированный на ежегодный </w:t>
      </w:r>
      <w:r>
        <w:rPr>
          <w:color w:val="000000" w:themeColor="text1"/>
          <w:sz w:val="28"/>
          <w:szCs w:val="28"/>
        </w:rPr>
        <w:t>темп роста поступлений штрафов за 5 лет 109,5%.</w:t>
      </w:r>
    </w:p>
    <w:p w:rsidR="00B15E45" w:rsidRDefault="00A842B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A842B3">
        <w:rPr>
          <w:color w:val="000000" w:themeColor="text1"/>
          <w:sz w:val="28"/>
          <w:szCs w:val="28"/>
        </w:rPr>
        <w:lastRenderedPageBreak/>
        <w:t>В составе прочих поступлений неналоговых доходов учтен</w:t>
      </w:r>
      <w:r>
        <w:rPr>
          <w:color w:val="000000" w:themeColor="text1"/>
          <w:sz w:val="28"/>
          <w:szCs w:val="28"/>
        </w:rPr>
        <w:t>ы</w:t>
      </w:r>
      <w:r w:rsidR="001735D7">
        <w:rPr>
          <w:color w:val="000000" w:themeColor="text1"/>
          <w:sz w:val="28"/>
          <w:szCs w:val="28"/>
        </w:rPr>
        <w:t xml:space="preserve"> </w:t>
      </w:r>
      <w:r w:rsidR="001735D7" w:rsidRPr="001735D7">
        <w:rPr>
          <w:b/>
          <w:i/>
          <w:color w:val="000000" w:themeColor="text1"/>
          <w:sz w:val="28"/>
          <w:szCs w:val="28"/>
        </w:rPr>
        <w:t>платежи от реализации права на размещение нестационарных объектов торговли и оформление разрешений на производство земляных работ</w:t>
      </w:r>
      <w:r w:rsidR="00D70BA3" w:rsidRPr="00D70BA3">
        <w:rPr>
          <w:color w:val="000000" w:themeColor="text1"/>
          <w:sz w:val="28"/>
          <w:szCs w:val="28"/>
        </w:rPr>
        <w:t>, по которым</w:t>
      </w:r>
      <w:r w:rsidR="001735D7">
        <w:rPr>
          <w:color w:val="000000" w:themeColor="text1"/>
          <w:sz w:val="28"/>
          <w:szCs w:val="28"/>
        </w:rPr>
        <w:t xml:space="preserve"> планируются поступления в </w:t>
      </w:r>
      <w:r w:rsidR="00D70BA3">
        <w:rPr>
          <w:color w:val="000000" w:themeColor="text1"/>
          <w:sz w:val="28"/>
          <w:szCs w:val="28"/>
        </w:rPr>
        <w:t>2019 году –</w:t>
      </w:r>
      <w:r w:rsidR="001735D7">
        <w:rPr>
          <w:color w:val="000000" w:themeColor="text1"/>
          <w:sz w:val="28"/>
          <w:szCs w:val="28"/>
        </w:rPr>
        <w:t xml:space="preserve"> 13</w:t>
      </w:r>
      <w:r w:rsidR="00D70BA3">
        <w:rPr>
          <w:color w:val="000000" w:themeColor="text1"/>
          <w:sz w:val="28"/>
          <w:szCs w:val="28"/>
        </w:rPr>
        <w:t>,0</w:t>
      </w:r>
      <w:r w:rsidR="001735D7">
        <w:rPr>
          <w:color w:val="000000" w:themeColor="text1"/>
          <w:sz w:val="28"/>
          <w:szCs w:val="28"/>
        </w:rPr>
        <w:t xml:space="preserve"> млн. руб.</w:t>
      </w:r>
      <w:r w:rsidR="005D085B">
        <w:rPr>
          <w:color w:val="000000" w:themeColor="text1"/>
          <w:sz w:val="28"/>
          <w:szCs w:val="28"/>
        </w:rPr>
        <w:t>,</w:t>
      </w:r>
      <w:r w:rsidR="001735D7">
        <w:rPr>
          <w:color w:val="000000" w:themeColor="text1"/>
          <w:sz w:val="28"/>
          <w:szCs w:val="28"/>
        </w:rPr>
        <w:t xml:space="preserve"> в 2020 и 2021 годах по 11</w:t>
      </w:r>
      <w:r w:rsidR="00D70BA3">
        <w:rPr>
          <w:color w:val="000000" w:themeColor="text1"/>
          <w:sz w:val="28"/>
          <w:szCs w:val="28"/>
        </w:rPr>
        <w:t>,0</w:t>
      </w:r>
      <w:r w:rsidR="001735D7">
        <w:rPr>
          <w:color w:val="000000" w:themeColor="text1"/>
          <w:sz w:val="28"/>
          <w:szCs w:val="28"/>
        </w:rPr>
        <w:t xml:space="preserve"> млн. руб</w:t>
      </w:r>
      <w:r w:rsidR="005D085B">
        <w:rPr>
          <w:color w:val="000000" w:themeColor="text1"/>
          <w:sz w:val="28"/>
          <w:szCs w:val="28"/>
        </w:rPr>
        <w:t>.</w:t>
      </w:r>
      <w:r w:rsidR="001735D7">
        <w:rPr>
          <w:color w:val="000000" w:themeColor="text1"/>
          <w:sz w:val="28"/>
          <w:szCs w:val="28"/>
        </w:rPr>
        <w:t xml:space="preserve"> ежегодно.</w:t>
      </w:r>
    </w:p>
    <w:p w:rsidR="001735D7" w:rsidRDefault="006C47A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Резервом роста поступлений в бюджет города потенциально может являться </w:t>
      </w:r>
      <w:r w:rsidR="00D70BA3" w:rsidRPr="00F471F7">
        <w:rPr>
          <w:b/>
          <w:i/>
          <w:color w:val="000000" w:themeColor="text1"/>
          <w:sz w:val="28"/>
          <w:szCs w:val="28"/>
        </w:rPr>
        <w:t>задолженность</w:t>
      </w:r>
      <w:r w:rsidRPr="00F471F7">
        <w:rPr>
          <w:b/>
          <w:i/>
          <w:color w:val="000000" w:themeColor="text1"/>
          <w:sz w:val="28"/>
          <w:szCs w:val="28"/>
        </w:rPr>
        <w:t xml:space="preserve"> по налоговым и неналоговым платежам</w:t>
      </w:r>
      <w:r>
        <w:rPr>
          <w:color w:val="000000" w:themeColor="text1"/>
          <w:sz w:val="28"/>
          <w:szCs w:val="28"/>
        </w:rPr>
        <w:t>, общая сумма которой по состоянию на 01.10.2018 года составляла 342,8 млн. рублей.</w:t>
      </w:r>
    </w:p>
    <w:p w:rsidR="006C47A3" w:rsidRDefault="006C47A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Анализируя структуру </w:t>
      </w:r>
      <w:r w:rsidR="00D70BA3">
        <w:rPr>
          <w:color w:val="000000" w:themeColor="text1"/>
          <w:sz w:val="28"/>
          <w:szCs w:val="28"/>
        </w:rPr>
        <w:t>задолженности</w:t>
      </w:r>
      <w:r w:rsidR="00F5162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следует отметить, что </w:t>
      </w:r>
      <w:r w:rsidR="00F471F7">
        <w:rPr>
          <w:color w:val="000000" w:themeColor="text1"/>
          <w:sz w:val="28"/>
          <w:szCs w:val="28"/>
        </w:rPr>
        <w:t>значительная доля</w:t>
      </w:r>
      <w:r>
        <w:rPr>
          <w:color w:val="000000" w:themeColor="text1"/>
          <w:sz w:val="28"/>
          <w:szCs w:val="28"/>
        </w:rPr>
        <w:t xml:space="preserve"> е</w:t>
      </w:r>
      <w:r w:rsidR="00F471F7"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 xml:space="preserve"> нереальна </w:t>
      </w:r>
      <w:proofErr w:type="gramStart"/>
      <w:r w:rsidR="00D70BA3">
        <w:rPr>
          <w:color w:val="000000" w:themeColor="text1"/>
          <w:sz w:val="28"/>
          <w:szCs w:val="28"/>
        </w:rPr>
        <w:t>к</w:t>
      </w:r>
      <w:r w:rsidR="00EE7021"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 взысканию.</w:t>
      </w:r>
    </w:p>
    <w:p w:rsidR="006C47A3" w:rsidRDefault="006C47A3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из общей суммы недоимки по налоговым платежам 163,8 млн. руб. – 103,6 млн. руб. (или 63%) составляет недоимка по земельному налогу, более половины которой</w:t>
      </w:r>
      <w:r w:rsidR="0027129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приходится на предприятия, прекратившие деятельность и </w:t>
      </w:r>
      <w:r w:rsidR="00D70BA3">
        <w:rPr>
          <w:color w:val="000000" w:themeColor="text1"/>
          <w:sz w:val="28"/>
          <w:szCs w:val="28"/>
        </w:rPr>
        <w:t xml:space="preserve">находящиеся в </w:t>
      </w:r>
      <w:proofErr w:type="spellStart"/>
      <w:r w:rsidR="00D70BA3">
        <w:rPr>
          <w:color w:val="000000" w:themeColor="text1"/>
          <w:sz w:val="28"/>
          <w:szCs w:val="28"/>
        </w:rPr>
        <w:t>банк</w:t>
      </w:r>
      <w:r w:rsidR="00F471F7">
        <w:rPr>
          <w:color w:val="000000" w:themeColor="text1"/>
          <w:sz w:val="28"/>
          <w:szCs w:val="28"/>
        </w:rPr>
        <w:t>ротном</w:t>
      </w:r>
      <w:proofErr w:type="spellEnd"/>
      <w:r w:rsidR="00D70BA3">
        <w:rPr>
          <w:color w:val="000000" w:themeColor="text1"/>
          <w:sz w:val="28"/>
          <w:szCs w:val="28"/>
        </w:rPr>
        <w:t xml:space="preserve"> и </w:t>
      </w:r>
      <w:proofErr w:type="spellStart"/>
      <w:r w:rsidR="00D70BA3">
        <w:rPr>
          <w:color w:val="000000" w:themeColor="text1"/>
          <w:sz w:val="28"/>
          <w:szCs w:val="28"/>
        </w:rPr>
        <w:t>предбанкротном</w:t>
      </w:r>
      <w:proofErr w:type="spellEnd"/>
      <w:r w:rsidR="00D70BA3">
        <w:rPr>
          <w:color w:val="000000" w:themeColor="text1"/>
          <w:sz w:val="28"/>
          <w:szCs w:val="28"/>
        </w:rPr>
        <w:t xml:space="preserve"> состоянии</w:t>
      </w:r>
      <w:r>
        <w:rPr>
          <w:color w:val="000000" w:themeColor="text1"/>
          <w:sz w:val="28"/>
          <w:szCs w:val="28"/>
        </w:rPr>
        <w:t>.</w:t>
      </w:r>
    </w:p>
    <w:p w:rsidR="00D70BA3" w:rsidRPr="00F471F7" w:rsidRDefault="008F2AD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 w:rsidRPr="00F471F7">
        <w:rPr>
          <w:i/>
          <w:color w:val="000000" w:themeColor="text1"/>
          <w:sz w:val="28"/>
          <w:szCs w:val="28"/>
        </w:rPr>
        <w:t>Резервами увеличения поступлений земельных платежей могут являться:</w:t>
      </w:r>
    </w:p>
    <w:p w:rsidR="008F2AD8" w:rsidRPr="00F471F7" w:rsidRDefault="008F2AD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 w:rsidRPr="00F471F7">
        <w:rPr>
          <w:i/>
          <w:color w:val="000000" w:themeColor="text1"/>
          <w:sz w:val="28"/>
          <w:szCs w:val="28"/>
        </w:rPr>
        <w:t xml:space="preserve">- выявление и постановка на кадастровый учет земельных участков, право </w:t>
      </w:r>
      <w:proofErr w:type="gramStart"/>
      <w:r w:rsidRPr="00F471F7">
        <w:rPr>
          <w:i/>
          <w:color w:val="000000" w:themeColor="text1"/>
          <w:sz w:val="28"/>
          <w:szCs w:val="28"/>
        </w:rPr>
        <w:t>пользования</w:t>
      </w:r>
      <w:proofErr w:type="gramEnd"/>
      <w:r w:rsidRPr="00F471F7">
        <w:rPr>
          <w:i/>
          <w:color w:val="000000" w:themeColor="text1"/>
          <w:sz w:val="28"/>
          <w:szCs w:val="28"/>
        </w:rPr>
        <w:t xml:space="preserve"> которы</w:t>
      </w:r>
      <w:r w:rsidR="005D085B" w:rsidRPr="00F471F7">
        <w:rPr>
          <w:i/>
          <w:color w:val="000000" w:themeColor="text1"/>
          <w:sz w:val="28"/>
          <w:szCs w:val="28"/>
        </w:rPr>
        <w:t>ми</w:t>
      </w:r>
      <w:r w:rsidRPr="00F471F7">
        <w:rPr>
          <w:i/>
          <w:color w:val="000000" w:themeColor="text1"/>
          <w:sz w:val="28"/>
          <w:szCs w:val="28"/>
        </w:rPr>
        <w:t xml:space="preserve"> не узаконено;</w:t>
      </w:r>
    </w:p>
    <w:p w:rsidR="008F2AD8" w:rsidRPr="00F471F7" w:rsidRDefault="008F2AD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 w:rsidRPr="00F471F7">
        <w:rPr>
          <w:i/>
          <w:color w:val="000000" w:themeColor="text1"/>
          <w:sz w:val="28"/>
          <w:szCs w:val="28"/>
        </w:rPr>
        <w:t>- повышение эффективности муниципального контроля за правомерным и целевым использованием земельных участков.</w:t>
      </w:r>
    </w:p>
    <w:p w:rsidR="006C47A3" w:rsidRDefault="00B1262F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 города формируется за счет налоговых платежей на собственность граждан, источником оплаты которых являются текущие доходы собственников.</w:t>
      </w:r>
    </w:p>
    <w:p w:rsidR="00B1262F" w:rsidRDefault="00F471F7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 w:rsidRPr="00F471F7">
        <w:rPr>
          <w:i/>
          <w:color w:val="000000" w:themeColor="text1"/>
          <w:sz w:val="28"/>
          <w:szCs w:val="28"/>
        </w:rPr>
        <w:t>У</w:t>
      </w:r>
      <w:r w:rsidR="008F2AD8" w:rsidRPr="00F471F7">
        <w:rPr>
          <w:i/>
          <w:color w:val="000000" w:themeColor="text1"/>
          <w:sz w:val="28"/>
          <w:szCs w:val="28"/>
        </w:rPr>
        <w:t>ровень собираемости земельных платежей и налога на имущество физических лиц, напрямую зависит от финансового положения налогоплательщика и соизмеримости начисленных сумм налогов текущему доходу</w:t>
      </w:r>
      <w:r w:rsidR="00EE7021">
        <w:rPr>
          <w:i/>
          <w:color w:val="000000" w:themeColor="text1"/>
          <w:sz w:val="28"/>
          <w:szCs w:val="28"/>
        </w:rPr>
        <w:t xml:space="preserve"> налогоплательщика</w:t>
      </w:r>
      <w:r w:rsidR="008F2AD8" w:rsidRPr="00F471F7">
        <w:rPr>
          <w:i/>
          <w:color w:val="000000" w:themeColor="text1"/>
          <w:sz w:val="28"/>
          <w:szCs w:val="28"/>
        </w:rPr>
        <w:t>. В связи с этим, сокращению задолженности</w:t>
      </w:r>
      <w:r w:rsidR="003C0AAC" w:rsidRPr="00F471F7">
        <w:rPr>
          <w:i/>
          <w:color w:val="000000" w:themeColor="text1"/>
          <w:sz w:val="28"/>
          <w:szCs w:val="28"/>
        </w:rPr>
        <w:t xml:space="preserve"> по имущественным налогам будет способствовать </w:t>
      </w:r>
      <w:r>
        <w:rPr>
          <w:i/>
          <w:color w:val="000000" w:themeColor="text1"/>
          <w:sz w:val="28"/>
          <w:szCs w:val="28"/>
        </w:rPr>
        <w:t xml:space="preserve">достижение национальных целей развития РФ - </w:t>
      </w:r>
      <w:r w:rsidR="003C0AAC" w:rsidRPr="00F471F7">
        <w:rPr>
          <w:i/>
          <w:color w:val="000000" w:themeColor="text1"/>
          <w:sz w:val="28"/>
          <w:szCs w:val="28"/>
        </w:rPr>
        <w:t>сокращение бедности и повышение уровня реальных доходов населения.</w:t>
      </w:r>
    </w:p>
    <w:p w:rsidR="00192428" w:rsidRPr="00F471F7" w:rsidRDefault="0019242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</w:p>
    <w:p w:rsidR="00B1262F" w:rsidRDefault="00F900E1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45572">
        <w:rPr>
          <w:b/>
          <w:i/>
          <w:color w:val="000000" w:themeColor="text1"/>
          <w:sz w:val="28"/>
          <w:szCs w:val="28"/>
        </w:rPr>
        <w:t>Недоимка</w:t>
      </w:r>
      <w:r w:rsidR="007F63F1" w:rsidRPr="00745572">
        <w:rPr>
          <w:b/>
          <w:i/>
          <w:color w:val="000000" w:themeColor="text1"/>
          <w:sz w:val="28"/>
          <w:szCs w:val="28"/>
        </w:rPr>
        <w:t xml:space="preserve"> по неналоговым платежам </w:t>
      </w:r>
      <w:r w:rsidR="007F63F1">
        <w:rPr>
          <w:color w:val="000000" w:themeColor="text1"/>
          <w:sz w:val="28"/>
          <w:szCs w:val="28"/>
        </w:rPr>
        <w:t>с начала текущего года возросла на 37,3 млн. руб. и составила на 01.10.2018 года 179,0 млн. рублей.</w:t>
      </w:r>
    </w:p>
    <w:p w:rsidR="007F63F1" w:rsidRDefault="0023351C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рост недоимки</w:t>
      </w:r>
      <w:r w:rsidR="005D085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порядка 20,0 млн. руб.</w:t>
      </w:r>
      <w:r w:rsidR="005D085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наблюдается по арендной плате за земельные участки, право </w:t>
      </w:r>
      <w:proofErr w:type="gramStart"/>
      <w:r>
        <w:rPr>
          <w:color w:val="000000" w:themeColor="text1"/>
          <w:sz w:val="28"/>
          <w:szCs w:val="28"/>
        </w:rPr>
        <w:t>собственности</w:t>
      </w:r>
      <w:proofErr w:type="gramEnd"/>
      <w:r>
        <w:rPr>
          <w:color w:val="000000" w:themeColor="text1"/>
          <w:sz w:val="28"/>
          <w:szCs w:val="28"/>
        </w:rPr>
        <w:t xml:space="preserve"> на которые </w:t>
      </w:r>
      <w:r w:rsidR="00272D03">
        <w:rPr>
          <w:color w:val="000000" w:themeColor="text1"/>
          <w:sz w:val="28"/>
          <w:szCs w:val="28"/>
        </w:rPr>
        <w:t>не разграничено, администратором платежа является Управление имущественных и земельных отношений администрации Липецкой области.</w:t>
      </w:r>
    </w:p>
    <w:p w:rsidR="00272D03" w:rsidRDefault="0013265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недоимки наблюдается также по плате за аренду имущества муниципальной казны и </w:t>
      </w:r>
      <w:proofErr w:type="spellStart"/>
      <w:r>
        <w:rPr>
          <w:color w:val="000000" w:themeColor="text1"/>
          <w:sz w:val="28"/>
          <w:szCs w:val="28"/>
        </w:rPr>
        <w:t>найм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жилья. </w:t>
      </w:r>
      <w:proofErr w:type="gramStart"/>
      <w:r w:rsidRPr="00F471F7">
        <w:rPr>
          <w:i/>
          <w:color w:val="000000" w:themeColor="text1"/>
          <w:sz w:val="28"/>
          <w:szCs w:val="28"/>
        </w:rPr>
        <w:t>Структурным подразделениям администрации города</w:t>
      </w:r>
      <w:r w:rsidR="005D085B" w:rsidRPr="00F471F7">
        <w:rPr>
          <w:i/>
          <w:color w:val="000000" w:themeColor="text1"/>
          <w:sz w:val="28"/>
          <w:szCs w:val="28"/>
        </w:rPr>
        <w:t>,</w:t>
      </w:r>
      <w:r w:rsidRPr="00F471F7">
        <w:rPr>
          <w:i/>
          <w:color w:val="000000" w:themeColor="text1"/>
          <w:sz w:val="28"/>
          <w:szCs w:val="28"/>
        </w:rPr>
        <w:t xml:space="preserve"> являющимися администраторами платежей (управление имущественных и земельных отношений и департамент ЖКХ)</w:t>
      </w:r>
      <w:r w:rsidR="005D085B" w:rsidRPr="00F471F7">
        <w:rPr>
          <w:i/>
          <w:color w:val="000000" w:themeColor="text1"/>
          <w:sz w:val="28"/>
          <w:szCs w:val="28"/>
        </w:rPr>
        <w:t>,</w:t>
      </w:r>
      <w:r w:rsidRPr="00F471F7">
        <w:rPr>
          <w:i/>
          <w:color w:val="000000" w:themeColor="text1"/>
          <w:sz w:val="28"/>
          <w:szCs w:val="28"/>
        </w:rPr>
        <w:t xml:space="preserve"> след</w:t>
      </w:r>
      <w:r w:rsidR="00745572" w:rsidRPr="00F471F7">
        <w:rPr>
          <w:i/>
          <w:color w:val="000000" w:themeColor="text1"/>
          <w:sz w:val="28"/>
          <w:szCs w:val="28"/>
        </w:rPr>
        <w:t>ует</w:t>
      </w:r>
      <w:r w:rsidRPr="00F471F7">
        <w:rPr>
          <w:i/>
          <w:color w:val="000000" w:themeColor="text1"/>
          <w:sz w:val="28"/>
          <w:szCs w:val="28"/>
        </w:rPr>
        <w:t xml:space="preserve"> активизировать работу по взысканию задолженности, а также пересмотреть условия договоров аренды муниципального имущества </w:t>
      </w:r>
      <w:r w:rsidR="00745572" w:rsidRPr="00F471F7">
        <w:rPr>
          <w:i/>
          <w:color w:val="000000" w:themeColor="text1"/>
          <w:sz w:val="28"/>
          <w:szCs w:val="28"/>
        </w:rPr>
        <w:t>в части установления сроков авансовых</w:t>
      </w:r>
      <w:r w:rsidRPr="00F471F7">
        <w:rPr>
          <w:i/>
          <w:color w:val="000000" w:themeColor="text1"/>
          <w:sz w:val="28"/>
          <w:szCs w:val="28"/>
        </w:rPr>
        <w:t xml:space="preserve"> </w:t>
      </w:r>
      <w:r w:rsidRPr="00F471F7">
        <w:rPr>
          <w:i/>
          <w:color w:val="000000" w:themeColor="text1"/>
          <w:sz w:val="28"/>
          <w:szCs w:val="28"/>
        </w:rPr>
        <w:lastRenderedPageBreak/>
        <w:t>платежей и ужесточени</w:t>
      </w:r>
      <w:r w:rsidR="00DC4193">
        <w:rPr>
          <w:i/>
          <w:color w:val="000000" w:themeColor="text1"/>
          <w:sz w:val="28"/>
          <w:szCs w:val="28"/>
        </w:rPr>
        <w:t xml:space="preserve">я </w:t>
      </w:r>
      <w:r w:rsidRPr="00F471F7">
        <w:rPr>
          <w:i/>
          <w:color w:val="000000" w:themeColor="text1"/>
          <w:sz w:val="28"/>
          <w:szCs w:val="28"/>
        </w:rPr>
        <w:t xml:space="preserve"> санкций за</w:t>
      </w:r>
      <w:r w:rsidR="00745572" w:rsidRPr="00F471F7">
        <w:rPr>
          <w:i/>
          <w:color w:val="000000" w:themeColor="text1"/>
          <w:sz w:val="28"/>
          <w:szCs w:val="28"/>
        </w:rPr>
        <w:t xml:space="preserve"> неуплату</w:t>
      </w:r>
      <w:r w:rsidRPr="00F471F7">
        <w:rPr>
          <w:i/>
          <w:color w:val="000000" w:themeColor="text1"/>
          <w:sz w:val="28"/>
          <w:szCs w:val="28"/>
        </w:rPr>
        <w:t xml:space="preserve"> </w:t>
      </w:r>
      <w:r w:rsidR="00745572" w:rsidRPr="00F471F7">
        <w:rPr>
          <w:i/>
          <w:color w:val="000000" w:themeColor="text1"/>
          <w:sz w:val="28"/>
          <w:szCs w:val="28"/>
        </w:rPr>
        <w:t>(</w:t>
      </w:r>
      <w:r w:rsidRPr="00F471F7">
        <w:rPr>
          <w:i/>
          <w:color w:val="000000" w:themeColor="text1"/>
          <w:sz w:val="28"/>
          <w:szCs w:val="28"/>
        </w:rPr>
        <w:t>несвоевременную уплату</w:t>
      </w:r>
      <w:r w:rsidR="00745572" w:rsidRPr="00F471F7">
        <w:rPr>
          <w:i/>
          <w:color w:val="000000" w:themeColor="text1"/>
          <w:sz w:val="28"/>
          <w:szCs w:val="28"/>
        </w:rPr>
        <w:t>) стоимости аренды</w:t>
      </w:r>
      <w:r w:rsidRPr="00F471F7">
        <w:rPr>
          <w:i/>
          <w:color w:val="000000" w:themeColor="text1"/>
          <w:sz w:val="28"/>
          <w:szCs w:val="28"/>
        </w:rPr>
        <w:t>.</w:t>
      </w:r>
      <w:proofErr w:type="gramEnd"/>
    </w:p>
    <w:p w:rsidR="00192428" w:rsidRPr="00F471F7" w:rsidRDefault="00192428" w:rsidP="00A842B3">
      <w:pPr>
        <w:suppressAutoHyphens/>
        <w:ind w:firstLine="708"/>
        <w:jc w:val="both"/>
        <w:rPr>
          <w:i/>
          <w:color w:val="000000" w:themeColor="text1"/>
          <w:sz w:val="28"/>
          <w:szCs w:val="28"/>
        </w:rPr>
      </w:pPr>
    </w:p>
    <w:p w:rsidR="00132658" w:rsidRDefault="00132658" w:rsidP="00132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города на 2019 год запланированы </w:t>
      </w:r>
      <w:r w:rsidRPr="005356B5">
        <w:rPr>
          <w:b/>
          <w:i/>
          <w:sz w:val="28"/>
          <w:szCs w:val="28"/>
        </w:rPr>
        <w:t>безвозмездные поступления от бюджетов других уровней бюджетной системы РФ</w:t>
      </w:r>
      <w:r>
        <w:rPr>
          <w:sz w:val="28"/>
          <w:szCs w:val="28"/>
        </w:rPr>
        <w:t xml:space="preserve"> в сумме 6258,6 млн. руб</w:t>
      </w:r>
      <w:r w:rsidR="005D085B">
        <w:rPr>
          <w:sz w:val="28"/>
          <w:szCs w:val="28"/>
        </w:rPr>
        <w:t>.</w:t>
      </w:r>
      <w:r>
        <w:rPr>
          <w:sz w:val="28"/>
          <w:szCs w:val="28"/>
        </w:rPr>
        <w:t>, что составляет 57,</w:t>
      </w:r>
      <w:r w:rsidR="00DC4193">
        <w:rPr>
          <w:sz w:val="28"/>
          <w:szCs w:val="28"/>
        </w:rPr>
        <w:t>6</w:t>
      </w:r>
      <w:r>
        <w:rPr>
          <w:sz w:val="28"/>
          <w:szCs w:val="28"/>
        </w:rPr>
        <w:t>% общих доходов бюджета.</w:t>
      </w:r>
    </w:p>
    <w:p w:rsidR="00132658" w:rsidRDefault="00132658" w:rsidP="00132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132658" w:rsidTr="00D04328">
        <w:tc>
          <w:tcPr>
            <w:tcW w:w="6771" w:type="dxa"/>
          </w:tcPr>
          <w:p w:rsidR="00132658" w:rsidRDefault="00132658" w:rsidP="00D04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субвенции на исполнение переданных полномочий</w:t>
            </w:r>
          </w:p>
        </w:tc>
        <w:tc>
          <w:tcPr>
            <w:tcW w:w="2799" w:type="dxa"/>
          </w:tcPr>
          <w:p w:rsidR="00132658" w:rsidRDefault="00132658" w:rsidP="0013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- 39</w:t>
            </w:r>
            <w:r w:rsidR="0074557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9,9 млн. руб.;</w:t>
            </w:r>
          </w:p>
        </w:tc>
      </w:tr>
      <w:tr w:rsidR="00132658" w:rsidTr="00D04328">
        <w:tc>
          <w:tcPr>
            <w:tcW w:w="6771" w:type="dxa"/>
          </w:tcPr>
          <w:p w:rsidR="00132658" w:rsidRDefault="00132658" w:rsidP="00D04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дотации</w:t>
            </w:r>
          </w:p>
        </w:tc>
        <w:tc>
          <w:tcPr>
            <w:tcW w:w="2799" w:type="dxa"/>
          </w:tcPr>
          <w:p w:rsidR="00132658" w:rsidRDefault="00132658" w:rsidP="0013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- 294,0 млн. руб.;</w:t>
            </w:r>
          </w:p>
        </w:tc>
      </w:tr>
      <w:tr w:rsidR="00132658" w:rsidTr="00D04328">
        <w:tc>
          <w:tcPr>
            <w:tcW w:w="6771" w:type="dxa"/>
          </w:tcPr>
          <w:p w:rsidR="00132658" w:rsidRDefault="00132658" w:rsidP="00D04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прочих безвозмездных поступлений</w:t>
            </w:r>
          </w:p>
        </w:tc>
        <w:tc>
          <w:tcPr>
            <w:tcW w:w="2799" w:type="dxa"/>
          </w:tcPr>
          <w:p w:rsidR="00132658" w:rsidRDefault="00132658" w:rsidP="0013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- 1964,7 млн. рублей.</w:t>
            </w:r>
          </w:p>
        </w:tc>
      </w:tr>
    </w:tbl>
    <w:p w:rsidR="00132658" w:rsidRDefault="00132658" w:rsidP="00A842B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15568B" w:rsidRPr="00E53528" w:rsidRDefault="00132658" w:rsidP="00D903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сумма </w:t>
      </w:r>
      <w:r w:rsidR="00EE7021">
        <w:rPr>
          <w:color w:val="000000" w:themeColor="text1"/>
          <w:sz w:val="28"/>
          <w:szCs w:val="28"/>
        </w:rPr>
        <w:t>прочих безвозмездных поступлений будет направлена</w:t>
      </w:r>
      <w:r>
        <w:rPr>
          <w:color w:val="000000" w:themeColor="text1"/>
          <w:sz w:val="28"/>
          <w:szCs w:val="28"/>
        </w:rPr>
        <w:t xml:space="preserve"> на реализацию федеральных приоритетных проектов «Безопасные и качественные дороги» (1033,2 млн. руб.) и «Формирование современной городской среды» (</w:t>
      </w:r>
      <w:r w:rsidR="005E3BDD">
        <w:rPr>
          <w:color w:val="000000" w:themeColor="text1"/>
          <w:sz w:val="28"/>
          <w:szCs w:val="28"/>
        </w:rPr>
        <w:t>250</w:t>
      </w:r>
      <w:r>
        <w:rPr>
          <w:color w:val="000000" w:themeColor="text1"/>
          <w:sz w:val="28"/>
          <w:szCs w:val="28"/>
        </w:rPr>
        <w:t>,0 млн. руб.)</w:t>
      </w:r>
      <w:r w:rsidR="001E007D">
        <w:rPr>
          <w:color w:val="000000" w:themeColor="text1"/>
          <w:sz w:val="28"/>
          <w:szCs w:val="28"/>
        </w:rPr>
        <w:t>, строительство школы по ул. 50 лет НЛМК (</w:t>
      </w:r>
      <w:r w:rsidR="005E3BDD">
        <w:rPr>
          <w:color w:val="000000" w:themeColor="text1"/>
          <w:sz w:val="28"/>
          <w:szCs w:val="28"/>
        </w:rPr>
        <w:t>175,7</w:t>
      </w:r>
      <w:r w:rsidR="001E007D">
        <w:rPr>
          <w:color w:val="000000" w:themeColor="text1"/>
          <w:sz w:val="28"/>
          <w:szCs w:val="28"/>
        </w:rPr>
        <w:t xml:space="preserve"> млн. руб.) и пристроек для ясельных гру</w:t>
      </w:r>
      <w:r w:rsidR="00C9146C">
        <w:rPr>
          <w:color w:val="000000" w:themeColor="text1"/>
          <w:sz w:val="28"/>
          <w:szCs w:val="28"/>
        </w:rPr>
        <w:t>пп к семи ДОУ (281,5 млн. руб.</w:t>
      </w:r>
      <w:r w:rsidR="001E007D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t xml:space="preserve"> </w:t>
      </w:r>
    </w:p>
    <w:p w:rsidR="00926F2B" w:rsidRDefault="00926F2B" w:rsidP="00926F2B">
      <w:pPr>
        <w:jc w:val="center"/>
        <w:rPr>
          <w:b/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t>5.  Расходы бюджета города</w:t>
      </w:r>
    </w:p>
    <w:p w:rsidR="00E16912" w:rsidRPr="00926F2B" w:rsidRDefault="00E16912" w:rsidP="00926F2B">
      <w:pPr>
        <w:jc w:val="center"/>
        <w:rPr>
          <w:b/>
          <w:color w:val="000000" w:themeColor="text1"/>
          <w:sz w:val="28"/>
          <w:szCs w:val="28"/>
        </w:rPr>
      </w:pPr>
    </w:p>
    <w:p w:rsidR="00456D70" w:rsidRPr="00926F2B" w:rsidRDefault="00926F2B" w:rsidP="00456D70">
      <w:pPr>
        <w:jc w:val="both"/>
        <w:rPr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tab/>
      </w:r>
      <w:r w:rsidR="00456D70" w:rsidRPr="00926F2B">
        <w:rPr>
          <w:color w:val="000000" w:themeColor="text1"/>
          <w:sz w:val="28"/>
          <w:szCs w:val="28"/>
        </w:rPr>
        <w:t>Общий объем расходов на 201</w:t>
      </w:r>
      <w:r w:rsidR="00456D70">
        <w:rPr>
          <w:color w:val="000000" w:themeColor="text1"/>
          <w:sz w:val="28"/>
          <w:szCs w:val="28"/>
        </w:rPr>
        <w:t>9</w:t>
      </w:r>
      <w:r w:rsidR="00456D70" w:rsidRPr="00926F2B">
        <w:rPr>
          <w:color w:val="000000" w:themeColor="text1"/>
          <w:sz w:val="28"/>
          <w:szCs w:val="28"/>
        </w:rPr>
        <w:t xml:space="preserve"> год  запланирован в сумме </w:t>
      </w:r>
      <w:r w:rsidR="00456D70">
        <w:rPr>
          <w:color w:val="000000" w:themeColor="text1"/>
          <w:sz w:val="28"/>
          <w:szCs w:val="28"/>
        </w:rPr>
        <w:t>11168,6</w:t>
      </w:r>
      <w:r w:rsidR="00456D70" w:rsidRPr="00926F2B">
        <w:rPr>
          <w:color w:val="000000" w:themeColor="text1"/>
          <w:sz w:val="28"/>
          <w:szCs w:val="28"/>
        </w:rPr>
        <w:t xml:space="preserve">  млн. руб., что меньше </w:t>
      </w:r>
      <w:r w:rsidR="00456D70">
        <w:rPr>
          <w:color w:val="000000" w:themeColor="text1"/>
          <w:sz w:val="28"/>
          <w:szCs w:val="28"/>
        </w:rPr>
        <w:t>уточненного плана</w:t>
      </w:r>
      <w:r w:rsidR="00456D70" w:rsidRPr="00926F2B">
        <w:rPr>
          <w:color w:val="000000" w:themeColor="text1"/>
          <w:sz w:val="28"/>
          <w:szCs w:val="28"/>
        </w:rPr>
        <w:t xml:space="preserve">  201</w:t>
      </w:r>
      <w:r w:rsidR="00456D70">
        <w:rPr>
          <w:color w:val="000000" w:themeColor="text1"/>
          <w:sz w:val="28"/>
          <w:szCs w:val="28"/>
        </w:rPr>
        <w:t>8</w:t>
      </w:r>
      <w:r w:rsidR="00456D70" w:rsidRPr="00926F2B">
        <w:rPr>
          <w:color w:val="000000" w:themeColor="text1"/>
          <w:sz w:val="28"/>
          <w:szCs w:val="28"/>
        </w:rPr>
        <w:t xml:space="preserve"> год</w:t>
      </w:r>
      <w:r w:rsidR="00456D70">
        <w:rPr>
          <w:color w:val="000000" w:themeColor="text1"/>
          <w:sz w:val="28"/>
          <w:szCs w:val="28"/>
        </w:rPr>
        <w:t>а</w:t>
      </w:r>
      <w:r w:rsidR="00456D70" w:rsidRPr="00926F2B">
        <w:rPr>
          <w:color w:val="000000" w:themeColor="text1"/>
          <w:sz w:val="28"/>
          <w:szCs w:val="28"/>
        </w:rPr>
        <w:t xml:space="preserve">  на сумму </w:t>
      </w:r>
      <w:r w:rsidR="00456D70">
        <w:rPr>
          <w:color w:val="000000" w:themeColor="text1"/>
          <w:sz w:val="28"/>
          <w:szCs w:val="28"/>
        </w:rPr>
        <w:t>2446,8</w:t>
      </w:r>
      <w:r w:rsidR="00456D70" w:rsidRPr="00926F2B">
        <w:rPr>
          <w:color w:val="000000" w:themeColor="text1"/>
          <w:sz w:val="28"/>
          <w:szCs w:val="28"/>
        </w:rPr>
        <w:t xml:space="preserve"> млн. руб. или на  </w:t>
      </w:r>
      <w:r w:rsidR="00456D70">
        <w:rPr>
          <w:color w:val="000000" w:themeColor="text1"/>
          <w:sz w:val="28"/>
          <w:szCs w:val="28"/>
        </w:rPr>
        <w:t xml:space="preserve">18 </w:t>
      </w:r>
      <w:r w:rsidR="00456D70" w:rsidRPr="00926F2B">
        <w:rPr>
          <w:color w:val="000000" w:themeColor="text1"/>
          <w:sz w:val="28"/>
          <w:szCs w:val="28"/>
        </w:rPr>
        <w:t xml:space="preserve"> процентов. Объем расходов на плановый период 20</w:t>
      </w:r>
      <w:r w:rsidR="00456D70">
        <w:rPr>
          <w:color w:val="000000" w:themeColor="text1"/>
          <w:sz w:val="28"/>
          <w:szCs w:val="28"/>
        </w:rPr>
        <w:t>20</w:t>
      </w:r>
      <w:r w:rsidR="00456D70" w:rsidRPr="00926F2B">
        <w:rPr>
          <w:color w:val="000000" w:themeColor="text1"/>
          <w:sz w:val="28"/>
          <w:szCs w:val="28"/>
        </w:rPr>
        <w:t xml:space="preserve"> и 202</w:t>
      </w:r>
      <w:r w:rsidR="00456D70">
        <w:rPr>
          <w:color w:val="000000" w:themeColor="text1"/>
          <w:sz w:val="28"/>
          <w:szCs w:val="28"/>
        </w:rPr>
        <w:t>1</w:t>
      </w:r>
      <w:r w:rsidR="00456D70" w:rsidRPr="00926F2B">
        <w:rPr>
          <w:color w:val="000000" w:themeColor="text1"/>
          <w:sz w:val="28"/>
          <w:szCs w:val="28"/>
        </w:rPr>
        <w:t xml:space="preserve"> годов составляет </w:t>
      </w:r>
      <w:r w:rsidR="00456D70">
        <w:rPr>
          <w:color w:val="000000" w:themeColor="text1"/>
          <w:sz w:val="28"/>
          <w:szCs w:val="28"/>
        </w:rPr>
        <w:t>9136,2 млн.  руб. и 8553,3</w:t>
      </w:r>
      <w:r w:rsidR="00456D70" w:rsidRPr="00926F2B">
        <w:rPr>
          <w:color w:val="000000" w:themeColor="text1"/>
          <w:sz w:val="28"/>
          <w:szCs w:val="28"/>
        </w:rPr>
        <w:t xml:space="preserve"> млн. руб. соответственно.</w:t>
      </w:r>
    </w:p>
    <w:p w:rsidR="00456D70" w:rsidRPr="0019313F" w:rsidRDefault="00456D70" w:rsidP="00456D70">
      <w:pPr>
        <w:ind w:firstLine="708"/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>Сведения об объемах расходной части бюджета в рамках муниципальных программ и непрограммных мероприятий представлены в таблице:</w:t>
      </w:r>
      <w:r w:rsidRPr="00926F2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56D70" w:rsidRPr="00926F2B" w:rsidRDefault="00456D70" w:rsidP="00456D70">
      <w:pPr>
        <w:ind w:firstLine="708"/>
        <w:jc w:val="right"/>
        <w:rPr>
          <w:color w:val="000000" w:themeColor="text1"/>
          <w:sz w:val="22"/>
          <w:szCs w:val="22"/>
        </w:rPr>
      </w:pPr>
      <w:r w:rsidRPr="00926F2B">
        <w:rPr>
          <w:color w:val="000000" w:themeColor="text1"/>
          <w:sz w:val="22"/>
          <w:szCs w:val="22"/>
        </w:rPr>
        <w:t xml:space="preserve">  млн. руб.</w:t>
      </w:r>
    </w:p>
    <w:tbl>
      <w:tblPr>
        <w:tblW w:w="964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979"/>
        <w:gridCol w:w="2267"/>
        <w:gridCol w:w="1133"/>
        <w:gridCol w:w="1133"/>
        <w:gridCol w:w="1133"/>
      </w:tblGrid>
      <w:tr w:rsidR="00456D70" w:rsidRPr="00926F2B" w:rsidTr="00456D70">
        <w:trPr>
          <w:trHeight w:val="113"/>
          <w:tblHeader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Утверждено на</w:t>
            </w:r>
          </w:p>
          <w:p w:rsidR="00DC4193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201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926F2B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  <w:p w:rsidR="00456D70" w:rsidRPr="00926F2B" w:rsidRDefault="00DC4193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(на 30.10.2018г.)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Проект бюджета</w:t>
            </w:r>
          </w:p>
        </w:tc>
      </w:tr>
      <w:tr w:rsidR="00456D70" w:rsidRPr="00926F2B" w:rsidTr="00456D70">
        <w:trPr>
          <w:trHeight w:val="345"/>
          <w:tblHeader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201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  <w:r w:rsidRPr="00926F2B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20</w:t>
            </w: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Pr="00926F2B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926F2B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456D70" w:rsidRPr="00926F2B" w:rsidTr="00456D70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70" w:rsidRPr="00926F2B" w:rsidRDefault="00456D70" w:rsidP="00456D7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/>
                <w:bCs/>
                <w:color w:val="000000" w:themeColor="text1"/>
                <w:sz w:val="22"/>
                <w:szCs w:val="22"/>
              </w:rPr>
              <w:t>Расходы всего:</w:t>
            </w:r>
          </w:p>
          <w:p w:rsidR="00456D70" w:rsidRPr="00926F2B" w:rsidRDefault="00456D70" w:rsidP="00456D7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 xml:space="preserve">в том числе условно </w:t>
            </w:r>
            <w:proofErr w:type="gramStart"/>
            <w:r w:rsidRPr="00926F2B">
              <w:rPr>
                <w:bCs/>
                <w:color w:val="000000" w:themeColor="text1"/>
                <w:sz w:val="22"/>
                <w:szCs w:val="22"/>
              </w:rPr>
              <w:t>утверждаемые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13615,4</w:t>
            </w:r>
          </w:p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11168,6</w:t>
            </w: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6F2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9136,2</w:t>
            </w: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8553,3</w:t>
            </w: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328,5</w:t>
            </w:r>
          </w:p>
        </w:tc>
      </w:tr>
      <w:tr w:rsidR="00456D70" w:rsidRPr="00926F2B" w:rsidTr="00456D70">
        <w:trPr>
          <w:trHeight w:val="7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70" w:rsidRPr="00926F2B" w:rsidRDefault="00456D70" w:rsidP="00456D7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Расходы в рамках муниципальных программ,</w:t>
            </w:r>
          </w:p>
          <w:p w:rsidR="00456D70" w:rsidRPr="00926F2B" w:rsidRDefault="00456D70" w:rsidP="00456D70">
            <w:pPr>
              <w:jc w:val="both"/>
              <w:rPr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 xml:space="preserve"> % к общей сумме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13133,1</w:t>
            </w:r>
          </w:p>
          <w:p w:rsidR="00456D70" w:rsidRPr="00926F2B" w:rsidRDefault="00456D70" w:rsidP="00456D70">
            <w:pPr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>96,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70" w:rsidRPr="00926F2B" w:rsidRDefault="00456D70" w:rsidP="00456D70">
            <w:pPr>
              <w:rPr>
                <w:color w:val="000000" w:themeColor="text1"/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10770,4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8527,1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7844,2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91,7</w:t>
            </w:r>
          </w:p>
        </w:tc>
      </w:tr>
      <w:tr w:rsidR="00456D70" w:rsidRPr="00926F2B" w:rsidTr="00456D70">
        <w:trPr>
          <w:trHeight w:val="38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70" w:rsidRPr="00926F2B" w:rsidRDefault="00456D70" w:rsidP="00456D7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6F2B">
              <w:rPr>
                <w:bCs/>
                <w:color w:val="000000" w:themeColor="text1"/>
                <w:sz w:val="22"/>
                <w:szCs w:val="22"/>
              </w:rPr>
              <w:t>Непрограммные расходы,</w:t>
            </w:r>
          </w:p>
          <w:p w:rsidR="00456D70" w:rsidRPr="00926F2B" w:rsidRDefault="00456D70" w:rsidP="00456D70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 xml:space="preserve"> % к общей сумме</w:t>
            </w:r>
          </w:p>
          <w:p w:rsidR="00456D70" w:rsidRPr="00926F2B" w:rsidRDefault="00456D70" w:rsidP="00456D70">
            <w:pPr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926F2B">
              <w:rPr>
                <w:bCs/>
                <w:color w:val="000000" w:themeColor="text1"/>
                <w:sz w:val="22"/>
                <w:szCs w:val="22"/>
              </w:rPr>
              <w:t>из них условно утверждаемые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482,3</w:t>
            </w:r>
          </w:p>
          <w:p w:rsidR="00456D70" w:rsidRPr="00926F2B" w:rsidRDefault="00456D70" w:rsidP="00456D70">
            <w:pPr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3,5</w:t>
            </w:r>
          </w:p>
          <w:p w:rsidR="00456D70" w:rsidRPr="00926F2B" w:rsidRDefault="00456D70" w:rsidP="00456D70">
            <w:pPr>
              <w:jc w:val="center"/>
              <w:rPr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926F2B">
              <w:rPr>
                <w:bCs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398,2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3,6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26F2B"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609,1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6,7</w:t>
            </w: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709,1</w:t>
            </w:r>
          </w:p>
          <w:p w:rsidR="00456D70" w:rsidRPr="00926F2B" w:rsidRDefault="00456D70" w:rsidP="00456D70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8,3</w:t>
            </w:r>
          </w:p>
          <w:p w:rsidR="00456D70" w:rsidRPr="00926F2B" w:rsidRDefault="00456D70" w:rsidP="00456D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328,5</w:t>
            </w:r>
          </w:p>
        </w:tc>
      </w:tr>
    </w:tbl>
    <w:p w:rsidR="00456D70" w:rsidRPr="00926F2B" w:rsidRDefault="00456D70" w:rsidP="00456D70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456D70" w:rsidRPr="00926F2B" w:rsidRDefault="00456D70" w:rsidP="00456D70">
      <w:pPr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926F2B">
        <w:rPr>
          <w:i/>
          <w:color w:val="000000" w:themeColor="text1"/>
          <w:sz w:val="28"/>
          <w:szCs w:val="28"/>
        </w:rPr>
        <w:t xml:space="preserve"> 201</w:t>
      </w:r>
      <w:r>
        <w:rPr>
          <w:i/>
          <w:color w:val="000000" w:themeColor="text1"/>
          <w:sz w:val="28"/>
          <w:szCs w:val="28"/>
        </w:rPr>
        <w:t>9</w:t>
      </w:r>
      <w:r w:rsidRPr="00926F2B">
        <w:rPr>
          <w:i/>
          <w:color w:val="000000" w:themeColor="text1"/>
          <w:sz w:val="28"/>
          <w:szCs w:val="28"/>
        </w:rPr>
        <w:t xml:space="preserve"> году  доля программных расходов </w:t>
      </w:r>
      <w:r>
        <w:rPr>
          <w:i/>
          <w:color w:val="000000" w:themeColor="text1"/>
          <w:sz w:val="28"/>
          <w:szCs w:val="28"/>
        </w:rPr>
        <w:t xml:space="preserve"> осталась практически на прежнем уровне -96,4%</w:t>
      </w:r>
      <w:r w:rsidRPr="00926F2B">
        <w:rPr>
          <w:i/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В 2019</w:t>
      </w:r>
      <w:r w:rsidRPr="00926F2B">
        <w:rPr>
          <w:color w:val="000000" w:themeColor="text1"/>
          <w:sz w:val="28"/>
          <w:szCs w:val="28"/>
        </w:rPr>
        <w:t xml:space="preserve"> году  обеспечение деятельности всех департаментов будет осуществляться в рамках муниципальных программ. Неохваченными программами остаются расходы на обеспечение деятельности </w:t>
      </w:r>
      <w:r>
        <w:rPr>
          <w:color w:val="000000" w:themeColor="text1"/>
          <w:sz w:val="28"/>
          <w:szCs w:val="28"/>
        </w:rPr>
        <w:t xml:space="preserve">Липецкого </w:t>
      </w:r>
      <w:r w:rsidRPr="00926F2B">
        <w:rPr>
          <w:color w:val="000000" w:themeColor="text1"/>
          <w:sz w:val="28"/>
          <w:szCs w:val="28"/>
        </w:rPr>
        <w:t xml:space="preserve">городского Совета депутатов, </w:t>
      </w:r>
      <w:r>
        <w:rPr>
          <w:color w:val="000000" w:themeColor="text1"/>
          <w:sz w:val="28"/>
          <w:szCs w:val="28"/>
        </w:rPr>
        <w:t>а</w:t>
      </w:r>
      <w:r w:rsidRPr="00926F2B">
        <w:rPr>
          <w:color w:val="000000" w:themeColor="text1"/>
          <w:sz w:val="28"/>
          <w:szCs w:val="28"/>
        </w:rPr>
        <w:t xml:space="preserve">дминистрации города, Счетной палаты, </w:t>
      </w:r>
      <w:r>
        <w:rPr>
          <w:color w:val="000000" w:themeColor="text1"/>
          <w:sz w:val="28"/>
          <w:szCs w:val="28"/>
        </w:rPr>
        <w:t xml:space="preserve">четырех управлений по округам, </w:t>
      </w:r>
      <w:r w:rsidRPr="00926F2B">
        <w:rPr>
          <w:color w:val="000000" w:themeColor="text1"/>
          <w:sz w:val="28"/>
          <w:szCs w:val="28"/>
        </w:rPr>
        <w:t>архивного управления, ЗАГС, управления опеки (попечительства) и охраны прав детства</w:t>
      </w:r>
      <w:r>
        <w:rPr>
          <w:color w:val="000000" w:themeColor="text1"/>
          <w:sz w:val="28"/>
          <w:szCs w:val="28"/>
        </w:rPr>
        <w:t xml:space="preserve">, МКУ «Управление ресурсного обеспечения администрации города </w:t>
      </w:r>
      <w:r>
        <w:rPr>
          <w:color w:val="000000" w:themeColor="text1"/>
          <w:sz w:val="28"/>
          <w:szCs w:val="28"/>
        </w:rPr>
        <w:lastRenderedPageBreak/>
        <w:t>Липецка»</w:t>
      </w:r>
      <w:r w:rsidRPr="00926F2B">
        <w:rPr>
          <w:color w:val="000000" w:themeColor="text1"/>
          <w:sz w:val="28"/>
          <w:szCs w:val="28"/>
        </w:rPr>
        <w:t xml:space="preserve">. Кроме того, непрограммными остаются расходы резервного фонда, </w:t>
      </w:r>
      <w:r w:rsidRPr="00BB3CA0">
        <w:rPr>
          <w:sz w:val="28"/>
          <w:szCs w:val="28"/>
        </w:rPr>
        <w:t xml:space="preserve"> </w:t>
      </w:r>
      <w:r w:rsidRPr="00926F2B">
        <w:rPr>
          <w:color w:val="000000" w:themeColor="text1"/>
          <w:sz w:val="28"/>
          <w:szCs w:val="28"/>
        </w:rPr>
        <w:t>по реализации наказов избирателей.</w:t>
      </w:r>
    </w:p>
    <w:p w:rsidR="00456D70" w:rsidRPr="00B51D5A" w:rsidRDefault="00456D70" w:rsidP="00456D70">
      <w:pPr>
        <w:jc w:val="both"/>
        <w:rPr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</w:r>
      <w:r w:rsidRPr="00B51D5A">
        <w:rPr>
          <w:sz w:val="28"/>
          <w:szCs w:val="28"/>
        </w:rPr>
        <w:t xml:space="preserve">Условно утверждаемые расходы (не распределяемые в текущем периоде) на плановый период 2020 и 2021 годов составляют к общему объему расходов бюджета без  учета межбюджетных трансфертов соответственно </w:t>
      </w:r>
      <w:r>
        <w:rPr>
          <w:sz w:val="28"/>
          <w:szCs w:val="28"/>
        </w:rPr>
        <w:t>5,0</w:t>
      </w:r>
      <w:r w:rsidRPr="00B51D5A">
        <w:rPr>
          <w:sz w:val="28"/>
          <w:szCs w:val="28"/>
        </w:rPr>
        <w:t xml:space="preserve">% и </w:t>
      </w:r>
      <w:r>
        <w:rPr>
          <w:sz w:val="28"/>
          <w:szCs w:val="28"/>
        </w:rPr>
        <w:t>7,1</w:t>
      </w:r>
      <w:r w:rsidRPr="00B51D5A">
        <w:rPr>
          <w:sz w:val="28"/>
          <w:szCs w:val="28"/>
        </w:rPr>
        <w:t>%, что соответствует  норме статьи 184.1 Бюджетного кодекса РФ.</w:t>
      </w:r>
    </w:p>
    <w:p w:rsidR="00456D70" w:rsidRPr="00926F2B" w:rsidRDefault="00456D70" w:rsidP="00456D70">
      <w:pPr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  <w:t>При анализе расходов бюджета использованы сведения, содержащиеся в пояснительной з</w:t>
      </w:r>
      <w:r>
        <w:rPr>
          <w:color w:val="000000" w:themeColor="text1"/>
          <w:sz w:val="28"/>
          <w:szCs w:val="28"/>
        </w:rPr>
        <w:t>аписке к проекту бюджета на 2019 год  и на плановый период 2020</w:t>
      </w:r>
      <w:r w:rsidRPr="00926F2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1</w:t>
      </w:r>
      <w:r w:rsidRPr="00926F2B">
        <w:rPr>
          <w:color w:val="000000" w:themeColor="text1"/>
          <w:sz w:val="28"/>
          <w:szCs w:val="28"/>
        </w:rPr>
        <w:t xml:space="preserve"> годов  об</w:t>
      </w:r>
      <w:r>
        <w:rPr>
          <w:color w:val="000000" w:themeColor="text1"/>
          <w:sz w:val="28"/>
          <w:szCs w:val="28"/>
        </w:rPr>
        <w:t xml:space="preserve"> объемах бюджетных ассигнований,</w:t>
      </w:r>
      <w:r w:rsidRPr="00926F2B">
        <w:rPr>
          <w:color w:val="000000" w:themeColor="text1"/>
          <w:sz w:val="28"/>
          <w:szCs w:val="28"/>
        </w:rPr>
        <w:t xml:space="preserve"> приложений к проекту бюджета,  паспортов муниципальных программ</w:t>
      </w:r>
      <w:r>
        <w:rPr>
          <w:color w:val="000000" w:themeColor="text1"/>
          <w:sz w:val="28"/>
          <w:szCs w:val="28"/>
        </w:rPr>
        <w:t xml:space="preserve">, информация </w:t>
      </w:r>
      <w:r w:rsidR="00EE7021">
        <w:rPr>
          <w:color w:val="000000" w:themeColor="text1"/>
          <w:sz w:val="28"/>
          <w:szCs w:val="28"/>
        </w:rPr>
        <w:t xml:space="preserve">главных </w:t>
      </w:r>
      <w:r>
        <w:rPr>
          <w:color w:val="000000" w:themeColor="text1"/>
          <w:sz w:val="28"/>
          <w:szCs w:val="28"/>
        </w:rPr>
        <w:t>администраторов расходов бюджета</w:t>
      </w:r>
      <w:r w:rsidRPr="00926F2B">
        <w:rPr>
          <w:color w:val="000000" w:themeColor="text1"/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Расходная часть бюджета на  2019</w:t>
      </w:r>
      <w:r w:rsidRPr="00926F2B">
        <w:rPr>
          <w:color w:val="000000" w:themeColor="text1"/>
          <w:sz w:val="28"/>
          <w:szCs w:val="28"/>
        </w:rPr>
        <w:t xml:space="preserve"> год  и на плановый период </w:t>
      </w:r>
      <w:r w:rsidR="00F51629">
        <w:rPr>
          <w:color w:val="000000" w:themeColor="text1"/>
          <w:sz w:val="28"/>
          <w:szCs w:val="28"/>
        </w:rPr>
        <w:t xml:space="preserve">2020-2021 годов </w:t>
      </w:r>
      <w:r w:rsidRPr="00926F2B">
        <w:rPr>
          <w:color w:val="000000" w:themeColor="text1"/>
          <w:sz w:val="28"/>
          <w:szCs w:val="28"/>
        </w:rPr>
        <w:t>сформирована на основе 1</w:t>
      </w:r>
      <w:r>
        <w:rPr>
          <w:color w:val="000000" w:themeColor="text1"/>
          <w:sz w:val="28"/>
          <w:szCs w:val="28"/>
        </w:rPr>
        <w:t>4</w:t>
      </w:r>
      <w:r w:rsidRPr="00926F2B">
        <w:rPr>
          <w:color w:val="000000" w:themeColor="text1"/>
          <w:sz w:val="28"/>
          <w:szCs w:val="28"/>
        </w:rPr>
        <w:t xml:space="preserve"> муниципальных программ</w:t>
      </w:r>
      <w:r>
        <w:rPr>
          <w:color w:val="000000" w:themeColor="text1"/>
          <w:sz w:val="28"/>
          <w:szCs w:val="28"/>
        </w:rPr>
        <w:t xml:space="preserve">. По сравнению с  началом 2018 года  количество программ увеличилось на 1 программу, что обусловлено выделением в текущем году в отдельную программу мероприятий по благоустройству в рамках  проекта по формированию комфортной городской среды. </w:t>
      </w:r>
    </w:p>
    <w:p w:rsidR="00456D70" w:rsidRPr="00EE7021" w:rsidRDefault="00456D70" w:rsidP="00456D70">
      <w:pPr>
        <w:ind w:firstLine="708"/>
        <w:jc w:val="both"/>
        <w:rPr>
          <w:i/>
          <w:color w:val="000000" w:themeColor="text1"/>
          <w:sz w:val="28"/>
          <w:szCs w:val="28"/>
        </w:rPr>
      </w:pPr>
      <w:proofErr w:type="gramStart"/>
      <w:r w:rsidRPr="00EE7021">
        <w:rPr>
          <w:i/>
          <w:color w:val="000000" w:themeColor="text1"/>
          <w:sz w:val="28"/>
          <w:szCs w:val="28"/>
        </w:rPr>
        <w:t xml:space="preserve">В целях обеспечения интеграции муниципальных программ города Липецка с положениями Указа Президента Российской Федерации от 07.05.2018 № 204 «О </w:t>
      </w:r>
      <w:r w:rsidR="00370922" w:rsidRPr="00EE7021">
        <w:rPr>
          <w:i/>
          <w:color w:val="000000" w:themeColor="text1"/>
          <w:sz w:val="28"/>
          <w:szCs w:val="28"/>
        </w:rPr>
        <w:t>н</w:t>
      </w:r>
      <w:r w:rsidRPr="00EE7021">
        <w:rPr>
          <w:i/>
          <w:color w:val="000000" w:themeColor="text1"/>
          <w:sz w:val="28"/>
          <w:szCs w:val="28"/>
        </w:rPr>
        <w:t xml:space="preserve">ациональных целях и стратегических задачах развития Российской Федерации на период до 2024 года» и разработанными в соответствии с ним национальными проектами,  в </w:t>
      </w:r>
      <w:r w:rsidRPr="00EE7021">
        <w:rPr>
          <w:i/>
          <w:color w:val="000000" w:themeColor="text1"/>
          <w:sz w:val="28"/>
          <w:szCs w:val="28"/>
          <w:lang w:val="en-US"/>
        </w:rPr>
        <w:t>IV</w:t>
      </w:r>
      <w:r w:rsidRPr="00EE7021">
        <w:rPr>
          <w:i/>
          <w:color w:val="000000" w:themeColor="text1"/>
          <w:sz w:val="28"/>
          <w:szCs w:val="28"/>
        </w:rPr>
        <w:t xml:space="preserve"> квартале  текущего года в муниципальные программы внесены изменения, позволяющие создавать необходимые условия для реализации возложенных Указом задач.</w:t>
      </w:r>
      <w:proofErr w:type="gramEnd"/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</w:t>
      </w:r>
      <w:r w:rsidRPr="00926F2B">
        <w:rPr>
          <w:sz w:val="28"/>
          <w:szCs w:val="28"/>
        </w:rPr>
        <w:t>ормировани</w:t>
      </w:r>
      <w:r>
        <w:rPr>
          <w:sz w:val="28"/>
          <w:szCs w:val="28"/>
        </w:rPr>
        <w:t>и</w:t>
      </w:r>
      <w:r w:rsidRPr="00926F2B">
        <w:rPr>
          <w:sz w:val="28"/>
          <w:szCs w:val="28"/>
        </w:rPr>
        <w:t xml:space="preserve"> объема и структуры расходов городского бюджета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926F2B">
        <w:rPr>
          <w:sz w:val="28"/>
          <w:szCs w:val="28"/>
        </w:rPr>
        <w:t xml:space="preserve"> годы </w:t>
      </w:r>
      <w:r>
        <w:rPr>
          <w:sz w:val="28"/>
          <w:szCs w:val="28"/>
        </w:rPr>
        <w:t>учтена</w:t>
      </w:r>
      <w:r w:rsidRPr="00926F2B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ь</w:t>
      </w:r>
      <w:r w:rsidRPr="00926F2B">
        <w:rPr>
          <w:sz w:val="28"/>
          <w:szCs w:val="28"/>
        </w:rPr>
        <w:t xml:space="preserve"> безусловного исполнения действующих расходных обязательств с учетом их оптимизации и повышения эффективного использования финансовых ресурсов</w:t>
      </w:r>
      <w:r>
        <w:rPr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6F2B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926F2B">
        <w:rPr>
          <w:sz w:val="28"/>
          <w:szCs w:val="28"/>
        </w:rPr>
        <w:t xml:space="preserve"> бюджетных ассигнований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определены </w:t>
      </w:r>
      <w:r w:rsidRPr="00926F2B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принятых решений по повышению оплаты труда, в том числе </w:t>
      </w:r>
      <w:r w:rsidR="00EB495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«дорожными картами» в отраслях образования и культуры   и</w:t>
      </w:r>
      <w:r w:rsidRPr="00926F2B">
        <w:rPr>
          <w:sz w:val="28"/>
          <w:szCs w:val="28"/>
        </w:rPr>
        <w:t xml:space="preserve"> необходимости осуществления доплат до </w:t>
      </w:r>
      <w:r>
        <w:rPr>
          <w:sz w:val="28"/>
          <w:szCs w:val="28"/>
        </w:rPr>
        <w:t>установленного на соответствующий год Правительством РФ уровня</w:t>
      </w:r>
      <w:r w:rsidRPr="00926F2B">
        <w:rPr>
          <w:sz w:val="28"/>
          <w:szCs w:val="28"/>
        </w:rPr>
        <w:t xml:space="preserve"> минимального размера оплаты труда</w:t>
      </w:r>
      <w:r w:rsidR="00F25674">
        <w:rPr>
          <w:sz w:val="28"/>
          <w:szCs w:val="28"/>
        </w:rPr>
        <w:t xml:space="preserve"> (с 11163 руб. в 2018 году до 11280 руб. в 2019 году) </w:t>
      </w:r>
      <w:r>
        <w:rPr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Учтено сокращение расходных обязательств, обусловленное изменениями в законодательство, а именно: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8E7">
        <w:rPr>
          <w:sz w:val="28"/>
          <w:szCs w:val="28"/>
        </w:rPr>
        <w:t>на</w:t>
      </w:r>
      <w:r>
        <w:rPr>
          <w:sz w:val="28"/>
          <w:szCs w:val="28"/>
        </w:rPr>
        <w:t xml:space="preserve"> уплат</w:t>
      </w:r>
      <w:r w:rsidR="005208E7">
        <w:rPr>
          <w:sz w:val="28"/>
          <w:szCs w:val="28"/>
        </w:rPr>
        <w:t>у</w:t>
      </w:r>
      <w:r>
        <w:rPr>
          <w:sz w:val="28"/>
          <w:szCs w:val="28"/>
        </w:rPr>
        <w:t xml:space="preserve">  земельного налога,  в связи с уменьшением кадастровой стоимости земельных участков;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8E7">
        <w:rPr>
          <w:sz w:val="28"/>
          <w:szCs w:val="28"/>
        </w:rPr>
        <w:t>на</w:t>
      </w:r>
      <w:r>
        <w:rPr>
          <w:sz w:val="28"/>
          <w:szCs w:val="28"/>
        </w:rPr>
        <w:t xml:space="preserve"> уплат</w:t>
      </w:r>
      <w:r w:rsidR="005208E7">
        <w:rPr>
          <w:sz w:val="28"/>
          <w:szCs w:val="28"/>
        </w:rPr>
        <w:t>у</w:t>
      </w:r>
      <w:r>
        <w:rPr>
          <w:sz w:val="28"/>
          <w:szCs w:val="28"/>
        </w:rPr>
        <w:t xml:space="preserve"> налога на имущество, в связи с исключением из состава объектов налогообложения дви</w:t>
      </w:r>
      <w:r w:rsidR="00F51629">
        <w:rPr>
          <w:sz w:val="28"/>
          <w:szCs w:val="28"/>
        </w:rPr>
        <w:t>жимого имущества учреждений.</w:t>
      </w:r>
    </w:p>
    <w:p w:rsidR="00456D70" w:rsidRPr="00926F2B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планируется увеличение  бюджетных расходов в связи с повышением с 1 января 2019 года ставки НДС с 18% до 20%   и повышением тарифов</w:t>
      </w:r>
      <w:r w:rsidRPr="00926F2B">
        <w:rPr>
          <w:sz w:val="28"/>
          <w:szCs w:val="28"/>
        </w:rPr>
        <w:t xml:space="preserve">  на оплату коммунальных услуг</w:t>
      </w:r>
      <w:r>
        <w:rPr>
          <w:sz w:val="28"/>
          <w:szCs w:val="28"/>
        </w:rPr>
        <w:t>.</w:t>
      </w:r>
    </w:p>
    <w:p w:rsidR="00456D70" w:rsidRPr="00926F2B" w:rsidRDefault="00C020E9" w:rsidP="00456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6D70" w:rsidRPr="00926F2B">
        <w:rPr>
          <w:sz w:val="28"/>
          <w:szCs w:val="28"/>
        </w:rPr>
        <w:t>Для определения расходов бюджета, базовые параметры, утвержденные на 1 января 201</w:t>
      </w:r>
      <w:r w:rsidR="00456D70">
        <w:rPr>
          <w:sz w:val="28"/>
          <w:szCs w:val="28"/>
        </w:rPr>
        <w:t>8</w:t>
      </w:r>
      <w:r w:rsidR="00456D70" w:rsidRPr="00926F2B">
        <w:rPr>
          <w:sz w:val="28"/>
          <w:szCs w:val="28"/>
        </w:rPr>
        <w:t xml:space="preserve"> года, скорректированы с учетом  </w:t>
      </w:r>
      <w:r w:rsidR="00456D70" w:rsidRPr="00926F2B">
        <w:rPr>
          <w:sz w:val="28"/>
          <w:szCs w:val="28"/>
        </w:rPr>
        <w:lastRenderedPageBreak/>
        <w:t>произведенных структурных и организационных преобразований,  введения новой сети, прекращения или возникновения расходных полномочий.</w:t>
      </w:r>
    </w:p>
    <w:p w:rsidR="0027194B" w:rsidRDefault="00456D70" w:rsidP="0027194B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В связи этим, количество главных распорядителей согласно ведомственной структуре определено в количестве </w:t>
      </w:r>
      <w:r w:rsidRPr="00435C73">
        <w:rPr>
          <w:sz w:val="28"/>
          <w:szCs w:val="28"/>
        </w:rPr>
        <w:t>22</w:t>
      </w:r>
      <w:r w:rsidRPr="00926F2B">
        <w:rPr>
          <w:sz w:val="28"/>
          <w:szCs w:val="28"/>
        </w:rPr>
        <w:t xml:space="preserve"> единиц. По функциональной структуре расходов сохранены разделы, сформированные в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году, которые  представлены следующей таблицей: </w:t>
      </w:r>
    </w:p>
    <w:p w:rsidR="0027194B" w:rsidRDefault="0027194B" w:rsidP="0027194B">
      <w:pPr>
        <w:ind w:firstLine="708"/>
        <w:jc w:val="both"/>
        <w:rPr>
          <w:sz w:val="28"/>
          <w:szCs w:val="28"/>
        </w:rPr>
      </w:pPr>
    </w:p>
    <w:p w:rsidR="00456D70" w:rsidRPr="00926F2B" w:rsidRDefault="00456D70" w:rsidP="0027194B">
      <w:pPr>
        <w:ind w:firstLine="708"/>
        <w:jc w:val="right"/>
        <w:rPr>
          <w:sz w:val="22"/>
          <w:szCs w:val="22"/>
        </w:rPr>
      </w:pPr>
      <w:r w:rsidRPr="00926F2B">
        <w:rPr>
          <w:sz w:val="22"/>
          <w:szCs w:val="22"/>
        </w:rPr>
        <w:t xml:space="preserve"> (млн. руб.) 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10"/>
        <w:gridCol w:w="851"/>
        <w:gridCol w:w="708"/>
        <w:gridCol w:w="851"/>
        <w:gridCol w:w="709"/>
        <w:gridCol w:w="850"/>
        <w:gridCol w:w="567"/>
        <w:gridCol w:w="709"/>
        <w:gridCol w:w="709"/>
        <w:gridCol w:w="708"/>
        <w:gridCol w:w="709"/>
      </w:tblGrid>
      <w:tr w:rsidR="00456D70" w:rsidRPr="00926F2B" w:rsidTr="00934638">
        <w:trPr>
          <w:cantSplit/>
          <w:trHeight w:val="5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Наименование      раздела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Бюджет на 201</w:t>
            </w:r>
            <w:r>
              <w:rPr>
                <w:sz w:val="22"/>
                <w:szCs w:val="22"/>
              </w:rPr>
              <w:t>8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11" w:right="-108" w:hanging="15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Проект </w:t>
            </w:r>
            <w:proofErr w:type="spellStart"/>
            <w:proofErr w:type="gramStart"/>
            <w:r w:rsidRPr="00926F2B">
              <w:rPr>
                <w:sz w:val="22"/>
                <w:szCs w:val="22"/>
              </w:rPr>
              <w:t>бюдже</w:t>
            </w:r>
            <w:proofErr w:type="spellEnd"/>
            <w:r w:rsidRPr="00926F2B">
              <w:rPr>
                <w:sz w:val="22"/>
                <w:szCs w:val="22"/>
              </w:rPr>
              <w:t>-та</w:t>
            </w:r>
            <w:proofErr w:type="gramEnd"/>
            <w:r w:rsidRPr="00926F2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%</w:t>
            </w:r>
          </w:p>
          <w:p w:rsidR="00456D70" w:rsidRPr="00926F2B" w:rsidRDefault="00456D70" w:rsidP="00456D70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к итогу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Отклонение проекта бюджета на 201</w:t>
            </w:r>
            <w:r>
              <w:rPr>
                <w:sz w:val="22"/>
                <w:szCs w:val="22"/>
              </w:rPr>
              <w:t>9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Проект</w:t>
            </w: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плановый период</w:t>
            </w:r>
          </w:p>
        </w:tc>
      </w:tr>
      <w:tr w:rsidR="00456D70" w:rsidRPr="00926F2B" w:rsidTr="008B3742">
        <w:trPr>
          <w:cantSplit/>
          <w:trHeight w:val="8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6F2B">
              <w:rPr>
                <w:sz w:val="22"/>
                <w:szCs w:val="22"/>
              </w:rPr>
              <w:t>Перво</w:t>
            </w:r>
            <w:proofErr w:type="spellEnd"/>
            <w:r w:rsidRPr="00926F2B">
              <w:rPr>
                <w:sz w:val="22"/>
                <w:szCs w:val="22"/>
              </w:rPr>
              <w:t>-начальный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Уточ</w:t>
            </w:r>
            <w:proofErr w:type="spellEnd"/>
            <w:r w:rsidRPr="00926F2B">
              <w:rPr>
                <w:sz w:val="22"/>
                <w:szCs w:val="22"/>
              </w:rPr>
              <w:t>-</w:t>
            </w:r>
          </w:p>
          <w:p w:rsidR="00456D70" w:rsidRPr="00926F2B" w:rsidRDefault="00456D70" w:rsidP="00DC419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ненны</w:t>
            </w:r>
            <w:proofErr w:type="gramStart"/>
            <w:r w:rsidRPr="00926F2B">
              <w:rPr>
                <w:sz w:val="22"/>
                <w:szCs w:val="22"/>
              </w:rPr>
              <w:t>й</w:t>
            </w:r>
            <w:proofErr w:type="spellEnd"/>
            <w:r w:rsidR="00DC4193">
              <w:rPr>
                <w:sz w:val="22"/>
                <w:szCs w:val="22"/>
              </w:rPr>
              <w:t>(</w:t>
            </w:r>
            <w:proofErr w:type="gramEnd"/>
            <w:r w:rsidR="00DC4193">
              <w:rPr>
                <w:sz w:val="22"/>
                <w:szCs w:val="22"/>
              </w:rPr>
              <w:t>на 30.10.18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Уточ</w:t>
            </w:r>
            <w:proofErr w:type="spellEnd"/>
            <w:r w:rsidRPr="00926F2B">
              <w:rPr>
                <w:sz w:val="22"/>
                <w:szCs w:val="22"/>
              </w:rPr>
              <w:t>-</w:t>
            </w: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ненный</w:t>
            </w:r>
            <w:proofErr w:type="spellEnd"/>
            <w:r w:rsidRPr="00926F2B">
              <w:rPr>
                <w:sz w:val="22"/>
                <w:szCs w:val="22"/>
              </w:rPr>
              <w:t xml:space="preserve"> </w:t>
            </w:r>
            <w:proofErr w:type="gramStart"/>
            <w:r w:rsidRPr="00926F2B">
              <w:rPr>
                <w:sz w:val="22"/>
                <w:szCs w:val="22"/>
              </w:rPr>
              <w:t>в</w:t>
            </w:r>
            <w:proofErr w:type="gramEnd"/>
            <w:r w:rsidRPr="00926F2B">
              <w:rPr>
                <w:sz w:val="22"/>
                <w:szCs w:val="22"/>
              </w:rPr>
              <w:t xml:space="preserve"> % к итогу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42" w:rsidRDefault="00456D70" w:rsidP="008B37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От </w:t>
            </w:r>
            <w:proofErr w:type="spellStart"/>
            <w:r w:rsidR="008B3742">
              <w:rPr>
                <w:sz w:val="22"/>
                <w:szCs w:val="22"/>
              </w:rPr>
              <w:t>перво</w:t>
            </w:r>
            <w:proofErr w:type="spellEnd"/>
            <w:r w:rsidR="008B3742">
              <w:rPr>
                <w:sz w:val="22"/>
                <w:szCs w:val="22"/>
              </w:rPr>
              <w:t>-</w:t>
            </w:r>
          </w:p>
          <w:p w:rsidR="00456D70" w:rsidRPr="00926F2B" w:rsidRDefault="00456D70" w:rsidP="008B374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26F2B">
              <w:rPr>
                <w:sz w:val="22"/>
                <w:szCs w:val="22"/>
              </w:rPr>
              <w:t>начального</w:t>
            </w:r>
            <w:proofErr w:type="gramEnd"/>
            <w:r w:rsidRPr="00926F2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="008B3742">
              <w:rPr>
                <w:sz w:val="22"/>
                <w:szCs w:val="22"/>
              </w:rPr>
              <w:t xml:space="preserve"> 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 уточнен-</w:t>
            </w: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ного</w:t>
            </w:r>
            <w:proofErr w:type="spellEnd"/>
            <w:r w:rsidRPr="00926F2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</w:tr>
      <w:tr w:rsidR="00456D70" w:rsidRPr="00926F2B" w:rsidTr="00934638">
        <w:trPr>
          <w:cantSplit/>
          <w:trHeight w:val="33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70" w:rsidRPr="00926F2B" w:rsidRDefault="00456D70" w:rsidP="00456D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42" w:rsidRDefault="00456D70" w:rsidP="009346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56D70" w:rsidRPr="00926F2B" w:rsidRDefault="00934638" w:rsidP="0093463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B3742">
              <w:rPr>
                <w:sz w:val="22"/>
                <w:szCs w:val="22"/>
              </w:rPr>
              <w:t>од</w:t>
            </w:r>
            <w:r w:rsidR="00456D70"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42" w:rsidRDefault="00456D70" w:rsidP="009346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456D70" w:rsidRPr="00926F2B" w:rsidRDefault="00934638" w:rsidP="0093463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B3742">
              <w:rPr>
                <w:sz w:val="22"/>
                <w:szCs w:val="22"/>
              </w:rPr>
              <w:t>од</w:t>
            </w:r>
            <w:r w:rsidR="00456D70" w:rsidRPr="00926F2B">
              <w:rPr>
                <w:sz w:val="22"/>
                <w:szCs w:val="22"/>
              </w:rPr>
              <w:t xml:space="preserve"> </w:t>
            </w:r>
          </w:p>
        </w:tc>
      </w:tr>
      <w:tr w:rsidR="00456D70" w:rsidRPr="00926F2B" w:rsidTr="00934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568,1</w:t>
            </w:r>
          </w:p>
        </w:tc>
      </w:tr>
      <w:tr w:rsidR="00456D70" w:rsidRPr="00926F2B" w:rsidTr="00934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</w:tr>
      <w:tr w:rsidR="00456D70" w:rsidRPr="00926F2B" w:rsidTr="00934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657,5</w:t>
            </w:r>
          </w:p>
        </w:tc>
      </w:tr>
      <w:tr w:rsidR="00456D70" w:rsidRPr="00926F2B" w:rsidTr="00934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 </w:t>
            </w: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center" w:pos="317"/>
              </w:tabs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ab/>
              <w:t xml:space="preserve"> </w:t>
            </w:r>
          </w:p>
          <w:p w:rsidR="00456D70" w:rsidRPr="00926F2B" w:rsidRDefault="00456D70" w:rsidP="00456D70">
            <w:pPr>
              <w:tabs>
                <w:tab w:val="center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489,8</w:t>
            </w:r>
          </w:p>
        </w:tc>
      </w:tr>
      <w:tr w:rsidR="00456D70" w:rsidRPr="00926F2B" w:rsidTr="00934638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,7р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8E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</w:t>
            </w:r>
            <w:r w:rsidR="008E6F1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1,8</w:t>
            </w:r>
          </w:p>
        </w:tc>
      </w:tr>
      <w:tr w:rsidR="00456D70" w:rsidRPr="00926F2B" w:rsidTr="00934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7067,7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5417,5</w:t>
            </w:r>
          </w:p>
        </w:tc>
      </w:tr>
      <w:tr w:rsidR="00456D70" w:rsidRPr="00926F2B" w:rsidTr="00934638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338,9</w:t>
            </w:r>
          </w:p>
        </w:tc>
      </w:tr>
      <w:tr w:rsidR="00456D70" w:rsidRPr="00926F2B" w:rsidTr="00934638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</w:tr>
      <w:tr w:rsidR="00456D70" w:rsidRPr="00926F2B" w:rsidTr="00934638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</w:t>
            </w:r>
          </w:p>
        </w:tc>
      </w:tr>
      <w:tr w:rsidR="00456D70" w:rsidRPr="00926F2B" w:rsidTr="00934638">
        <w:trPr>
          <w:trHeight w:val="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456D70" w:rsidRPr="00926F2B" w:rsidTr="00934638">
        <w:trPr>
          <w:trHeight w:val="7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200,6</w:t>
            </w:r>
          </w:p>
        </w:tc>
      </w:tr>
      <w:tr w:rsidR="00456D70" w:rsidRPr="00926F2B" w:rsidTr="009346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328,5</w:t>
            </w:r>
          </w:p>
        </w:tc>
      </w:tr>
      <w:tr w:rsidR="00456D70" w:rsidRPr="00926F2B" w:rsidTr="00934638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576E33" w:rsidRDefault="00456D70" w:rsidP="00456D70">
            <w:pPr>
              <w:ind w:left="-108" w:right="-108"/>
              <w:jc w:val="center"/>
            </w:pPr>
            <w:r w:rsidRPr="00576E33">
              <w:t>10903,4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576E33" w:rsidRDefault="00456D70" w:rsidP="00456D70">
            <w:pPr>
              <w:ind w:left="-108" w:right="-108"/>
              <w:jc w:val="center"/>
            </w:pPr>
            <w:r>
              <w:t>13615,4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8553,3</w:t>
            </w:r>
          </w:p>
        </w:tc>
      </w:tr>
      <w:tr w:rsidR="00456D70" w:rsidRPr="00926F2B" w:rsidTr="00934638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70" w:rsidRPr="00926F2B" w:rsidRDefault="00456D70" w:rsidP="00456D7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т. ч. на социально-культурную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F478E0">
              <w:rPr>
                <w:sz w:val="22"/>
                <w:szCs w:val="22"/>
              </w:rPr>
              <w:t>8060,1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7107,8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6D70" w:rsidRPr="00926F2B" w:rsidRDefault="00456D70" w:rsidP="00456D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6216,8</w:t>
            </w:r>
          </w:p>
        </w:tc>
      </w:tr>
    </w:tbl>
    <w:p w:rsidR="00456D70" w:rsidRPr="00926F2B" w:rsidRDefault="00456D70" w:rsidP="00456D70">
      <w:pPr>
        <w:jc w:val="both"/>
        <w:rPr>
          <w:sz w:val="22"/>
          <w:szCs w:val="22"/>
          <w:highlight w:val="yellow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3C5A50" w:rsidRDefault="003C5A50" w:rsidP="005208E7">
      <w:pPr>
        <w:ind w:firstLine="567"/>
        <w:rPr>
          <w:sz w:val="28"/>
          <w:szCs w:val="28"/>
        </w:rPr>
      </w:pPr>
    </w:p>
    <w:p w:rsidR="00456D70" w:rsidRPr="00926F2B" w:rsidRDefault="00456D70" w:rsidP="005208E7">
      <w:pPr>
        <w:ind w:firstLine="567"/>
        <w:rPr>
          <w:sz w:val="28"/>
          <w:szCs w:val="28"/>
        </w:rPr>
      </w:pPr>
      <w:r w:rsidRPr="00926F2B">
        <w:rPr>
          <w:sz w:val="28"/>
          <w:szCs w:val="28"/>
        </w:rPr>
        <w:t>Структура расходов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года представлена следующей диаграммой.</w:t>
      </w:r>
    </w:p>
    <w:p w:rsidR="00926F2B" w:rsidRPr="00926F2B" w:rsidRDefault="00926F2B" w:rsidP="00926F2B">
      <w:pPr>
        <w:jc w:val="both"/>
        <w:rPr>
          <w:sz w:val="22"/>
          <w:szCs w:val="22"/>
          <w:highlight w:val="yellow"/>
        </w:rPr>
      </w:pPr>
    </w:p>
    <w:p w:rsidR="00926F2B" w:rsidRPr="00926F2B" w:rsidRDefault="00926F2B" w:rsidP="00926F2B">
      <w:pPr>
        <w:jc w:val="both"/>
        <w:rPr>
          <w:sz w:val="28"/>
          <w:szCs w:val="28"/>
          <w:highlight w:val="yellow"/>
        </w:rPr>
      </w:pPr>
      <w:r w:rsidRPr="00926F2B">
        <w:rPr>
          <w:sz w:val="28"/>
          <w:szCs w:val="28"/>
        </w:rPr>
        <w:t xml:space="preserve">         </w:t>
      </w:r>
      <w:r w:rsidR="00BE380F">
        <w:rPr>
          <w:noProof/>
        </w:rPr>
        <w:drawing>
          <wp:inline distT="0" distB="0" distL="0" distR="0" wp14:anchorId="5D25E3C4" wp14:editId="119FC8ED">
            <wp:extent cx="5939790" cy="5958737"/>
            <wp:effectExtent l="19050" t="0" r="22860" b="234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5A4F" w:rsidRDefault="00BA5A4F" w:rsidP="00926F2B">
      <w:pPr>
        <w:ind w:firstLine="708"/>
        <w:jc w:val="both"/>
        <w:rPr>
          <w:sz w:val="28"/>
          <w:szCs w:val="28"/>
        </w:rPr>
      </w:pPr>
    </w:p>
    <w:p w:rsidR="00456D70" w:rsidRPr="00926F2B" w:rsidRDefault="00EB495F" w:rsidP="00456D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56D70">
        <w:rPr>
          <w:sz w:val="28"/>
          <w:szCs w:val="28"/>
        </w:rPr>
        <w:t>роект бюджета города по расходам на 2019</w:t>
      </w:r>
      <w:r w:rsidR="00456D70" w:rsidRPr="00926F2B">
        <w:rPr>
          <w:sz w:val="28"/>
          <w:szCs w:val="28"/>
        </w:rPr>
        <w:t xml:space="preserve"> год по сравнению с первоначально утвержденным бюджетом на 201</w:t>
      </w:r>
      <w:r w:rsidR="00456D70">
        <w:rPr>
          <w:sz w:val="28"/>
          <w:szCs w:val="28"/>
        </w:rPr>
        <w:t>8</w:t>
      </w:r>
      <w:r w:rsidR="00456D70" w:rsidRPr="00926F2B">
        <w:rPr>
          <w:sz w:val="28"/>
          <w:szCs w:val="28"/>
        </w:rPr>
        <w:t xml:space="preserve"> год </w:t>
      </w:r>
      <w:r w:rsidR="00456D70">
        <w:rPr>
          <w:sz w:val="28"/>
          <w:szCs w:val="28"/>
        </w:rPr>
        <w:t>увеличен</w:t>
      </w:r>
      <w:r w:rsidR="00456D70" w:rsidRPr="00926F2B">
        <w:rPr>
          <w:sz w:val="28"/>
          <w:szCs w:val="28"/>
        </w:rPr>
        <w:t xml:space="preserve"> на </w:t>
      </w:r>
      <w:r w:rsidR="00456D70">
        <w:rPr>
          <w:sz w:val="28"/>
          <w:szCs w:val="28"/>
        </w:rPr>
        <w:t>265,2</w:t>
      </w:r>
      <w:r w:rsidR="00456D70" w:rsidRPr="00926F2B">
        <w:rPr>
          <w:sz w:val="28"/>
          <w:szCs w:val="28"/>
        </w:rPr>
        <w:t xml:space="preserve"> млн. руб. (или на </w:t>
      </w:r>
      <w:r w:rsidR="00456D70">
        <w:rPr>
          <w:sz w:val="28"/>
          <w:szCs w:val="28"/>
        </w:rPr>
        <w:t>2,4</w:t>
      </w:r>
      <w:r w:rsidR="00456D70" w:rsidRPr="00926F2B">
        <w:rPr>
          <w:sz w:val="28"/>
          <w:szCs w:val="28"/>
        </w:rPr>
        <w:t xml:space="preserve">%), при этом расходы по разделу  «Национальная экономика» </w:t>
      </w:r>
      <w:r w:rsidR="00456D70">
        <w:rPr>
          <w:sz w:val="28"/>
          <w:szCs w:val="28"/>
        </w:rPr>
        <w:t>уменьшены</w:t>
      </w:r>
      <w:r w:rsidR="00456D70" w:rsidRPr="00926F2B">
        <w:rPr>
          <w:sz w:val="28"/>
          <w:szCs w:val="28"/>
        </w:rPr>
        <w:t xml:space="preserve"> на </w:t>
      </w:r>
      <w:r w:rsidR="00456D70">
        <w:rPr>
          <w:sz w:val="28"/>
          <w:szCs w:val="28"/>
        </w:rPr>
        <w:t xml:space="preserve">163,0 </w:t>
      </w:r>
      <w:r w:rsidR="00456D70" w:rsidRPr="00926F2B">
        <w:rPr>
          <w:sz w:val="28"/>
          <w:szCs w:val="28"/>
        </w:rPr>
        <w:t xml:space="preserve">млн. руб. (или </w:t>
      </w:r>
      <w:r w:rsidR="00456D70">
        <w:rPr>
          <w:sz w:val="28"/>
          <w:szCs w:val="28"/>
        </w:rPr>
        <w:t>на 6,8%</w:t>
      </w:r>
      <w:r w:rsidR="00456D70" w:rsidRPr="00926F2B">
        <w:rPr>
          <w:sz w:val="28"/>
          <w:szCs w:val="28"/>
        </w:rPr>
        <w:t>), а по разделу «</w:t>
      </w:r>
      <w:r w:rsidR="00456D70">
        <w:rPr>
          <w:sz w:val="28"/>
          <w:szCs w:val="28"/>
        </w:rPr>
        <w:t>Образование</w:t>
      </w:r>
      <w:r w:rsidR="00456D70" w:rsidRPr="00926F2B">
        <w:rPr>
          <w:sz w:val="28"/>
          <w:szCs w:val="28"/>
        </w:rPr>
        <w:t xml:space="preserve">» расходы </w:t>
      </w:r>
      <w:r w:rsidR="00456D70">
        <w:rPr>
          <w:sz w:val="28"/>
          <w:szCs w:val="28"/>
        </w:rPr>
        <w:t>увеличены</w:t>
      </w:r>
      <w:r w:rsidR="00456D70" w:rsidRPr="00926F2B">
        <w:rPr>
          <w:sz w:val="28"/>
          <w:szCs w:val="28"/>
        </w:rPr>
        <w:t xml:space="preserve"> на </w:t>
      </w:r>
      <w:r w:rsidR="00456D70">
        <w:rPr>
          <w:sz w:val="28"/>
          <w:szCs w:val="28"/>
        </w:rPr>
        <w:t xml:space="preserve">475,5 </w:t>
      </w:r>
      <w:r w:rsidR="00456D70" w:rsidRPr="00926F2B">
        <w:rPr>
          <w:sz w:val="28"/>
          <w:szCs w:val="28"/>
        </w:rPr>
        <w:t xml:space="preserve">млн. руб. (или на </w:t>
      </w:r>
      <w:r w:rsidR="00456D70">
        <w:rPr>
          <w:sz w:val="28"/>
          <w:szCs w:val="28"/>
        </w:rPr>
        <w:t>8,3</w:t>
      </w:r>
      <w:r w:rsidR="00456D70" w:rsidRPr="00926F2B">
        <w:rPr>
          <w:sz w:val="28"/>
          <w:szCs w:val="28"/>
        </w:rPr>
        <w:t>%).</w:t>
      </w:r>
      <w:proofErr w:type="gramEnd"/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При сравнении проекта бюджета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с уточненным бюджетом на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 отмечается сокращение расходов на </w:t>
      </w:r>
      <w:r>
        <w:rPr>
          <w:sz w:val="28"/>
          <w:szCs w:val="28"/>
        </w:rPr>
        <w:t>2446,8</w:t>
      </w:r>
      <w:r w:rsidRPr="00926F2B">
        <w:rPr>
          <w:sz w:val="28"/>
          <w:szCs w:val="28"/>
        </w:rPr>
        <w:t xml:space="preserve"> млн. руб. (или на </w:t>
      </w:r>
      <w:r>
        <w:rPr>
          <w:sz w:val="28"/>
          <w:szCs w:val="28"/>
        </w:rPr>
        <w:t>18,0</w:t>
      </w:r>
      <w:r w:rsidRPr="00926F2B">
        <w:rPr>
          <w:sz w:val="28"/>
          <w:szCs w:val="28"/>
        </w:rPr>
        <w:t>%).  Отклонение расходов  в сторону уменьшения от уточненного бюджета на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 наблюдается ежегодно на момент </w:t>
      </w:r>
      <w:r>
        <w:rPr>
          <w:sz w:val="28"/>
          <w:szCs w:val="28"/>
        </w:rPr>
        <w:t>первоначального</w:t>
      </w:r>
      <w:r w:rsidRPr="00926F2B">
        <w:rPr>
          <w:sz w:val="28"/>
          <w:szCs w:val="28"/>
        </w:rPr>
        <w:t xml:space="preserve"> рассмотрения </w:t>
      </w:r>
      <w:proofErr w:type="gramStart"/>
      <w:r w:rsidRPr="00926F2B">
        <w:rPr>
          <w:sz w:val="28"/>
          <w:szCs w:val="28"/>
        </w:rPr>
        <w:t>бюджета</w:t>
      </w:r>
      <w:proofErr w:type="gramEnd"/>
      <w:r w:rsidRPr="00926F2B">
        <w:rPr>
          <w:sz w:val="28"/>
          <w:szCs w:val="28"/>
        </w:rPr>
        <w:t xml:space="preserve"> на очередной  финансовый год</w:t>
      </w:r>
      <w:r>
        <w:rPr>
          <w:sz w:val="28"/>
          <w:szCs w:val="28"/>
        </w:rPr>
        <w:t xml:space="preserve">, что  </w:t>
      </w:r>
      <w:r w:rsidRPr="00926F2B">
        <w:rPr>
          <w:sz w:val="28"/>
          <w:szCs w:val="28"/>
        </w:rPr>
        <w:t xml:space="preserve">связано с выделением межбюджетных трансфертов из бюджетов других уровней </w:t>
      </w:r>
      <w:r>
        <w:rPr>
          <w:sz w:val="28"/>
          <w:szCs w:val="28"/>
        </w:rPr>
        <w:t>в</w:t>
      </w:r>
      <w:r w:rsidRPr="00926F2B">
        <w:rPr>
          <w:sz w:val="28"/>
          <w:szCs w:val="28"/>
        </w:rPr>
        <w:t xml:space="preserve"> ходе исполнения бюджета в очередном году. </w:t>
      </w:r>
    </w:p>
    <w:p w:rsidR="00456D70" w:rsidRPr="00926F2B" w:rsidRDefault="00456D70" w:rsidP="00456D70">
      <w:pPr>
        <w:ind w:firstLine="708"/>
        <w:jc w:val="both"/>
        <w:rPr>
          <w:i/>
          <w:sz w:val="28"/>
          <w:szCs w:val="28"/>
        </w:rPr>
      </w:pPr>
      <w:r w:rsidRPr="00926F2B">
        <w:rPr>
          <w:i/>
          <w:sz w:val="28"/>
          <w:szCs w:val="28"/>
        </w:rPr>
        <w:lastRenderedPageBreak/>
        <w:t>В бюджете города на 201</w:t>
      </w:r>
      <w:r>
        <w:rPr>
          <w:i/>
          <w:sz w:val="28"/>
          <w:szCs w:val="28"/>
        </w:rPr>
        <w:t>9</w:t>
      </w:r>
      <w:r w:rsidRPr="00926F2B">
        <w:rPr>
          <w:i/>
          <w:sz w:val="28"/>
          <w:szCs w:val="28"/>
        </w:rPr>
        <w:t xml:space="preserve"> год  и на плановый период 20</w:t>
      </w:r>
      <w:r>
        <w:rPr>
          <w:i/>
          <w:sz w:val="28"/>
          <w:szCs w:val="28"/>
        </w:rPr>
        <w:t>20</w:t>
      </w:r>
      <w:r w:rsidRPr="00926F2B">
        <w:rPr>
          <w:i/>
          <w:sz w:val="28"/>
          <w:szCs w:val="28"/>
        </w:rPr>
        <w:t xml:space="preserve"> и 202</w:t>
      </w:r>
      <w:r>
        <w:rPr>
          <w:i/>
          <w:sz w:val="28"/>
          <w:szCs w:val="28"/>
        </w:rPr>
        <w:t>1</w:t>
      </w:r>
      <w:r w:rsidRPr="00926F2B">
        <w:rPr>
          <w:i/>
          <w:sz w:val="28"/>
          <w:szCs w:val="28"/>
        </w:rPr>
        <w:t xml:space="preserve"> годов сохранены социальные приоритеты. Доля средств направляемых в социально-культурную сферу в общем объеме расходов в 201</w:t>
      </w:r>
      <w:r>
        <w:rPr>
          <w:i/>
          <w:sz w:val="28"/>
          <w:szCs w:val="28"/>
        </w:rPr>
        <w:t>9</w:t>
      </w:r>
      <w:r w:rsidRPr="00926F2B">
        <w:rPr>
          <w:i/>
          <w:sz w:val="28"/>
          <w:szCs w:val="28"/>
        </w:rPr>
        <w:t xml:space="preserve"> году составит</w:t>
      </w:r>
      <w:r>
        <w:rPr>
          <w:i/>
          <w:sz w:val="28"/>
          <w:szCs w:val="28"/>
        </w:rPr>
        <w:t xml:space="preserve"> 63,6</w:t>
      </w:r>
      <w:r w:rsidRPr="00926F2B">
        <w:rPr>
          <w:i/>
          <w:sz w:val="28"/>
          <w:szCs w:val="28"/>
        </w:rPr>
        <w:t xml:space="preserve">%, что на </w:t>
      </w:r>
      <w:r>
        <w:rPr>
          <w:i/>
          <w:sz w:val="28"/>
          <w:szCs w:val="28"/>
        </w:rPr>
        <w:t>4,4</w:t>
      </w:r>
      <w:r w:rsidRPr="00926F2B">
        <w:rPr>
          <w:i/>
          <w:sz w:val="28"/>
          <w:szCs w:val="28"/>
        </w:rPr>
        <w:t xml:space="preserve"> процентных пункта превышает уточненный бюджет 201</w:t>
      </w:r>
      <w:r>
        <w:rPr>
          <w:i/>
          <w:sz w:val="28"/>
          <w:szCs w:val="28"/>
        </w:rPr>
        <w:t>8</w:t>
      </w:r>
      <w:r w:rsidRPr="00926F2B">
        <w:rPr>
          <w:i/>
          <w:sz w:val="28"/>
          <w:szCs w:val="28"/>
        </w:rPr>
        <w:t xml:space="preserve"> года. При этом</w:t>
      </w:r>
      <w:r>
        <w:rPr>
          <w:i/>
          <w:sz w:val="28"/>
          <w:szCs w:val="28"/>
        </w:rPr>
        <w:t xml:space="preserve"> </w:t>
      </w:r>
      <w:r w:rsidRPr="00926F2B">
        <w:rPr>
          <w:i/>
          <w:sz w:val="28"/>
          <w:szCs w:val="28"/>
        </w:rPr>
        <w:t xml:space="preserve"> в абсолютном выражении расходы по сравнению с текущим годом сокра</w:t>
      </w:r>
      <w:r w:rsidR="00EB495F">
        <w:rPr>
          <w:i/>
          <w:sz w:val="28"/>
          <w:szCs w:val="28"/>
        </w:rPr>
        <w:t>щены</w:t>
      </w:r>
      <w:r w:rsidRPr="00926F2B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 xml:space="preserve">952,3 </w:t>
      </w:r>
      <w:r w:rsidRPr="00926F2B">
        <w:rPr>
          <w:i/>
          <w:sz w:val="28"/>
          <w:szCs w:val="28"/>
        </w:rPr>
        <w:t>млн. рублей.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По функциональной  классификации расходы характеризуются следующим образом.</w:t>
      </w:r>
    </w:p>
    <w:p w:rsidR="00456D70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По разделу </w:t>
      </w:r>
      <w:r>
        <w:rPr>
          <w:sz w:val="28"/>
          <w:szCs w:val="28"/>
        </w:rPr>
        <w:t xml:space="preserve"> </w:t>
      </w:r>
      <w:r w:rsidRPr="00926F2B">
        <w:rPr>
          <w:b/>
          <w:sz w:val="28"/>
          <w:szCs w:val="28"/>
        </w:rPr>
        <w:t>Общегосударственные вопросы»</w:t>
      </w:r>
      <w:r>
        <w:rPr>
          <w:b/>
          <w:sz w:val="28"/>
          <w:szCs w:val="28"/>
        </w:rPr>
        <w:t xml:space="preserve"> </w:t>
      </w:r>
      <w:r w:rsidRPr="00926F2B">
        <w:rPr>
          <w:b/>
          <w:sz w:val="28"/>
          <w:szCs w:val="28"/>
        </w:rPr>
        <w:t xml:space="preserve"> </w:t>
      </w:r>
      <w:r w:rsidRPr="00926F2B">
        <w:rPr>
          <w:sz w:val="28"/>
          <w:szCs w:val="28"/>
        </w:rPr>
        <w:t>расходы,  планируемые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</w:t>
      </w:r>
      <w:r w:rsidR="00EB495F">
        <w:rPr>
          <w:sz w:val="28"/>
          <w:szCs w:val="28"/>
        </w:rPr>
        <w:t xml:space="preserve"> в</w:t>
      </w:r>
      <w:r w:rsidRPr="00926F2B">
        <w:rPr>
          <w:sz w:val="28"/>
          <w:szCs w:val="28"/>
        </w:rPr>
        <w:t xml:space="preserve"> сравнени</w:t>
      </w:r>
      <w:r w:rsidR="00EB495F">
        <w:rPr>
          <w:sz w:val="28"/>
          <w:szCs w:val="28"/>
        </w:rPr>
        <w:t>и</w:t>
      </w:r>
      <w:r w:rsidRPr="00926F2B">
        <w:rPr>
          <w:sz w:val="28"/>
          <w:szCs w:val="28"/>
        </w:rPr>
        <w:t xml:space="preserve"> с уточненным бюджетом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сократятся </w:t>
      </w:r>
      <w:r w:rsidRPr="00926F2B">
        <w:rPr>
          <w:sz w:val="28"/>
          <w:szCs w:val="28"/>
        </w:rPr>
        <w:t xml:space="preserve"> на 1</w:t>
      </w:r>
      <w:r>
        <w:rPr>
          <w:sz w:val="28"/>
          <w:szCs w:val="28"/>
        </w:rPr>
        <w:t>8,5</w:t>
      </w:r>
      <w:r w:rsidRPr="00926F2B">
        <w:rPr>
          <w:sz w:val="28"/>
          <w:szCs w:val="28"/>
        </w:rPr>
        <w:t xml:space="preserve">% и составят </w:t>
      </w:r>
      <w:r>
        <w:rPr>
          <w:sz w:val="28"/>
          <w:szCs w:val="28"/>
        </w:rPr>
        <w:t>671,6</w:t>
      </w:r>
      <w:r w:rsidRPr="00926F2B">
        <w:rPr>
          <w:sz w:val="28"/>
          <w:szCs w:val="28"/>
        </w:rPr>
        <w:t xml:space="preserve"> млн. рублей. 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</w:t>
      </w:r>
      <w:r w:rsidRPr="00926F2B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Pr="0012499C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уменьшением расходов</w:t>
      </w:r>
      <w:r w:rsidRPr="00926F2B">
        <w:rPr>
          <w:sz w:val="28"/>
          <w:szCs w:val="28"/>
        </w:rPr>
        <w:t xml:space="preserve"> на исполнение муниципальных гарантий по возможным гарантийным случаям</w:t>
      </w:r>
      <w:r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со списанием с муниципального долга  муниципальной гарантии в результате полного исполнения АО «ЛГЭК» своих обязательств перед Европейским банком реконструкции и развития.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2019 год и на плановый период 2020 и 2021 годов предусмотрены ассигнования, необходимые в связи с возможным наступлением гарантийных случаев по  выданной гарантии</w:t>
      </w:r>
      <w:r w:rsidRPr="00361F8B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МУП «Липецкая станция аэрации»</w:t>
      </w:r>
      <w:r w:rsidRPr="001A688D">
        <w:rPr>
          <w:sz w:val="28"/>
          <w:szCs w:val="28"/>
        </w:rPr>
        <w:t xml:space="preserve"> </w:t>
      </w:r>
      <w:r w:rsidR="00F51629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 66,7 млн. руб., 59,8 млн. руб. и 13,7 млн. руб. соответственно.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6F2B">
        <w:rPr>
          <w:sz w:val="28"/>
          <w:szCs w:val="28"/>
        </w:rPr>
        <w:t>Программные ме</w:t>
      </w:r>
      <w:r>
        <w:rPr>
          <w:sz w:val="28"/>
          <w:szCs w:val="28"/>
        </w:rPr>
        <w:t>роприятия раздела на сумму 369,6 млн. руб. (55</w:t>
      </w:r>
      <w:r w:rsidRPr="00926F2B">
        <w:rPr>
          <w:sz w:val="28"/>
          <w:szCs w:val="28"/>
        </w:rPr>
        <w:t xml:space="preserve"> %) будут реализованы  в рамках </w:t>
      </w:r>
      <w:r>
        <w:rPr>
          <w:sz w:val="28"/>
          <w:szCs w:val="28"/>
        </w:rPr>
        <w:t>шести</w:t>
      </w:r>
      <w:r w:rsidRPr="00926F2B">
        <w:rPr>
          <w:sz w:val="28"/>
          <w:szCs w:val="28"/>
        </w:rPr>
        <w:t xml:space="preserve"> муниципальных программ: 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«Управление муниципальными финансами и муниципальны</w:t>
      </w:r>
      <w:r w:rsidR="00370922">
        <w:rPr>
          <w:sz w:val="28"/>
          <w:szCs w:val="28"/>
        </w:rPr>
        <w:t>м долгом города Липецка» - 140,8</w:t>
      </w:r>
      <w:r>
        <w:rPr>
          <w:sz w:val="28"/>
          <w:szCs w:val="28"/>
        </w:rPr>
        <w:t xml:space="preserve"> млн. руб.;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Развитие экономического потенциала города Липецк</w:t>
      </w:r>
      <w:r>
        <w:rPr>
          <w:sz w:val="28"/>
          <w:szCs w:val="28"/>
        </w:rPr>
        <w:t>а» – 72,4 млн</w:t>
      </w:r>
      <w:r w:rsidRPr="00926F2B">
        <w:rPr>
          <w:sz w:val="28"/>
          <w:szCs w:val="28"/>
        </w:rPr>
        <w:t>. руб.;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>«Градостроительная  деятельность на территории город</w:t>
      </w:r>
      <w:r w:rsidRPr="00926F2B">
        <w:rPr>
          <w:sz w:val="28"/>
          <w:szCs w:val="28"/>
        </w:rPr>
        <w:t>а Липецка</w:t>
      </w:r>
      <w:r>
        <w:rPr>
          <w:sz w:val="28"/>
          <w:szCs w:val="28"/>
        </w:rPr>
        <w:t>»</w:t>
      </w:r>
      <w:r w:rsidRPr="00926F2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55,1 </w:t>
      </w:r>
      <w:r w:rsidRPr="00926F2B">
        <w:rPr>
          <w:sz w:val="28"/>
          <w:szCs w:val="28"/>
        </w:rPr>
        <w:t>млн. руб.;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Развитие жилищно-коммунального хозяйства города Липецка</w:t>
      </w:r>
      <w:r>
        <w:rPr>
          <w:sz w:val="28"/>
          <w:szCs w:val="28"/>
        </w:rPr>
        <w:t>»</w:t>
      </w:r>
      <w:r w:rsidRPr="00926F2B">
        <w:rPr>
          <w:sz w:val="28"/>
          <w:szCs w:val="28"/>
        </w:rPr>
        <w:t xml:space="preserve"> – </w:t>
      </w:r>
      <w:r>
        <w:rPr>
          <w:sz w:val="28"/>
          <w:szCs w:val="28"/>
        </w:rPr>
        <w:t>4,9</w:t>
      </w:r>
      <w:r w:rsidRPr="00926F2B">
        <w:rPr>
          <w:sz w:val="28"/>
          <w:szCs w:val="28"/>
        </w:rPr>
        <w:t xml:space="preserve"> млн. руб.;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926F2B">
        <w:rPr>
          <w:sz w:val="28"/>
          <w:szCs w:val="28"/>
        </w:rPr>
        <w:t>«Развитие муници</w:t>
      </w:r>
      <w:r>
        <w:rPr>
          <w:sz w:val="28"/>
          <w:szCs w:val="28"/>
        </w:rPr>
        <w:t>пальной службы в городе Липецке» -  19,</w:t>
      </w:r>
      <w:r w:rsidR="004A60F2">
        <w:rPr>
          <w:sz w:val="28"/>
          <w:szCs w:val="28"/>
        </w:rPr>
        <w:t>5</w:t>
      </w:r>
      <w:r w:rsidR="000B66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«Липецк – мы вместе!» - </w:t>
      </w:r>
      <w:r>
        <w:rPr>
          <w:sz w:val="28"/>
          <w:szCs w:val="28"/>
        </w:rPr>
        <w:t>76,8</w:t>
      </w:r>
      <w:r w:rsidRPr="00926F2B">
        <w:rPr>
          <w:sz w:val="28"/>
          <w:szCs w:val="28"/>
        </w:rPr>
        <w:t xml:space="preserve"> млн. рублей.</w:t>
      </w:r>
      <w:r>
        <w:rPr>
          <w:sz w:val="28"/>
          <w:szCs w:val="28"/>
        </w:rPr>
        <w:t xml:space="preserve">  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Доля непрограммных расходов по разделу составляет </w:t>
      </w:r>
      <w:r>
        <w:rPr>
          <w:sz w:val="28"/>
          <w:szCs w:val="28"/>
        </w:rPr>
        <w:t>45</w:t>
      </w:r>
      <w:r w:rsidRPr="00926F2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(или 30</w:t>
      </w:r>
      <w:r w:rsidR="004A60F2">
        <w:rPr>
          <w:sz w:val="28"/>
          <w:szCs w:val="28"/>
        </w:rPr>
        <w:t>2</w:t>
      </w:r>
      <w:r>
        <w:rPr>
          <w:sz w:val="28"/>
          <w:szCs w:val="28"/>
        </w:rPr>
        <w:t>,0 млн. руб.</w:t>
      </w:r>
      <w:r w:rsidRPr="00926F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92428" w:rsidRDefault="00192428" w:rsidP="00456D70">
      <w:pPr>
        <w:ind w:firstLine="708"/>
        <w:jc w:val="both"/>
        <w:rPr>
          <w:sz w:val="28"/>
          <w:szCs w:val="28"/>
        </w:rPr>
      </w:pPr>
    </w:p>
    <w:p w:rsidR="00456D70" w:rsidRPr="00926F2B" w:rsidRDefault="00456D70" w:rsidP="00456D70">
      <w:pPr>
        <w:tabs>
          <w:tab w:val="left" w:pos="180"/>
          <w:tab w:val="left" w:pos="540"/>
        </w:tabs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Объем средств, предусмотренный в бюджете города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по разделу</w:t>
      </w:r>
      <w:r>
        <w:rPr>
          <w:b/>
          <w:bCs/>
          <w:sz w:val="28"/>
          <w:szCs w:val="28"/>
        </w:rPr>
        <w:t xml:space="preserve"> </w:t>
      </w:r>
      <w:r w:rsidRPr="00926F2B">
        <w:rPr>
          <w:b/>
          <w:bCs/>
          <w:sz w:val="28"/>
          <w:szCs w:val="28"/>
        </w:rPr>
        <w:t>«Национальная безопасность и правоохранительная деятельность»</w:t>
      </w:r>
      <w:r w:rsidRPr="00926F2B">
        <w:rPr>
          <w:sz w:val="28"/>
          <w:szCs w:val="28"/>
        </w:rPr>
        <w:t xml:space="preserve"> по сравнению с уточненным бюджетом на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увеличится</w:t>
      </w:r>
      <w:r w:rsidRPr="00926F2B">
        <w:rPr>
          <w:sz w:val="28"/>
          <w:szCs w:val="28"/>
        </w:rPr>
        <w:t xml:space="preserve">  на </w:t>
      </w:r>
      <w:r>
        <w:rPr>
          <w:sz w:val="28"/>
          <w:szCs w:val="28"/>
        </w:rPr>
        <w:t>0,8</w:t>
      </w:r>
      <w:r w:rsidRPr="00926F2B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0,6</w:t>
      </w:r>
      <w:r w:rsidRPr="00926F2B">
        <w:rPr>
          <w:sz w:val="28"/>
          <w:szCs w:val="28"/>
        </w:rPr>
        <w:t xml:space="preserve"> млн. руб. и составит </w:t>
      </w:r>
      <w:r>
        <w:rPr>
          <w:sz w:val="28"/>
          <w:szCs w:val="28"/>
        </w:rPr>
        <w:t>78,3</w:t>
      </w:r>
      <w:r w:rsidRPr="00926F2B">
        <w:rPr>
          <w:sz w:val="28"/>
          <w:szCs w:val="28"/>
        </w:rPr>
        <w:t xml:space="preserve"> млн. рублей. </w:t>
      </w:r>
    </w:p>
    <w:p w:rsidR="00456D70" w:rsidRDefault="00DC4193" w:rsidP="00DC41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56D70" w:rsidRPr="00926F2B">
        <w:rPr>
          <w:sz w:val="28"/>
          <w:szCs w:val="28"/>
        </w:rPr>
        <w:t>В рамках реализации муниципальной программы «</w:t>
      </w:r>
      <w:r w:rsidR="00456D70" w:rsidRPr="00926F2B">
        <w:rPr>
          <w:rFonts w:eastAsiaTheme="minorHAnsi"/>
          <w:sz w:val="28"/>
          <w:szCs w:val="28"/>
          <w:lang w:eastAsia="en-US"/>
        </w:rPr>
        <w:t xml:space="preserve">Защита населения и территории города Липецка от чрезвычайных ситуаций природного и техногенного характера, обеспечение безопасного проживания граждан»  </w:t>
      </w:r>
      <w:r w:rsidR="00456D70" w:rsidRPr="00926F2B">
        <w:rPr>
          <w:sz w:val="28"/>
          <w:szCs w:val="28"/>
        </w:rPr>
        <w:t xml:space="preserve">планируются средства в сумме </w:t>
      </w:r>
      <w:r w:rsidR="00456D70">
        <w:rPr>
          <w:sz w:val="28"/>
          <w:szCs w:val="28"/>
        </w:rPr>
        <w:t>46,1</w:t>
      </w:r>
      <w:r w:rsidR="00456D70" w:rsidRPr="00926F2B">
        <w:rPr>
          <w:sz w:val="28"/>
          <w:szCs w:val="28"/>
        </w:rPr>
        <w:t xml:space="preserve">  млн. руб.  на финансовое обеспечение </w:t>
      </w:r>
      <w:r w:rsidR="00456D70" w:rsidRPr="00926F2B">
        <w:rPr>
          <w:sz w:val="28"/>
          <w:szCs w:val="28"/>
        </w:rPr>
        <w:lastRenderedPageBreak/>
        <w:t>деятельности МКУ «Управление по делам ГО и ЧС города Липецка»,  проведение мероприятий по организации работы аппаратно-программного комплекса «Безопасный город», на обеспечение безопасности людей на водных объектах и обеспечение</w:t>
      </w:r>
      <w:proofErr w:type="gramEnd"/>
      <w:r w:rsidR="00456D70" w:rsidRPr="00926F2B">
        <w:rPr>
          <w:sz w:val="28"/>
          <w:szCs w:val="28"/>
        </w:rPr>
        <w:t xml:space="preserve"> первичных мер пожарной безопасности на территории города Липецка.</w:t>
      </w:r>
    </w:p>
    <w:p w:rsidR="00EE3A2A" w:rsidRDefault="00456D70" w:rsidP="00EE3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В рамках непрограммных мероприятий предусмотрено содержание управления ЗАГС в сумме </w:t>
      </w:r>
      <w:r>
        <w:rPr>
          <w:sz w:val="28"/>
          <w:szCs w:val="28"/>
        </w:rPr>
        <w:t>32,2</w:t>
      </w:r>
      <w:r w:rsidRPr="00926F2B">
        <w:rPr>
          <w:sz w:val="28"/>
          <w:szCs w:val="28"/>
        </w:rPr>
        <w:t xml:space="preserve"> млн. руб., из  которых  </w:t>
      </w:r>
      <w:r>
        <w:rPr>
          <w:sz w:val="28"/>
          <w:szCs w:val="28"/>
        </w:rPr>
        <w:t xml:space="preserve">29,3 </w:t>
      </w:r>
      <w:r w:rsidRPr="00926F2B">
        <w:rPr>
          <w:sz w:val="28"/>
          <w:szCs w:val="28"/>
        </w:rPr>
        <w:t xml:space="preserve"> млн. руб.   субвенции из областного и федерального бюджетов и 2,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млн. руб. – средства городского бюджета.</w:t>
      </w:r>
    </w:p>
    <w:p w:rsidR="00192428" w:rsidRDefault="00192428" w:rsidP="00EE3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D70" w:rsidRDefault="00DC4193" w:rsidP="00EE3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D70" w:rsidRPr="00926F2B">
        <w:rPr>
          <w:sz w:val="28"/>
          <w:szCs w:val="28"/>
        </w:rPr>
        <w:t xml:space="preserve"> Расходы по разделу  </w:t>
      </w:r>
      <w:r w:rsidR="00456D70" w:rsidRPr="00926F2B">
        <w:rPr>
          <w:b/>
          <w:sz w:val="28"/>
          <w:szCs w:val="28"/>
        </w:rPr>
        <w:t>«Национальная экономика</w:t>
      </w:r>
      <w:r w:rsidR="00456D70" w:rsidRPr="00926F2B">
        <w:rPr>
          <w:sz w:val="28"/>
          <w:szCs w:val="28"/>
        </w:rPr>
        <w:t>»  на 201</w:t>
      </w:r>
      <w:r w:rsidR="00456D70">
        <w:rPr>
          <w:sz w:val="28"/>
          <w:szCs w:val="28"/>
        </w:rPr>
        <w:t>9</w:t>
      </w:r>
      <w:r w:rsidR="00456D70" w:rsidRPr="00926F2B">
        <w:rPr>
          <w:sz w:val="28"/>
          <w:szCs w:val="28"/>
        </w:rPr>
        <w:t xml:space="preserve"> год планируются в сумме </w:t>
      </w:r>
      <w:r w:rsidR="00456D70">
        <w:rPr>
          <w:sz w:val="28"/>
          <w:szCs w:val="28"/>
        </w:rPr>
        <w:t>2231,5</w:t>
      </w:r>
      <w:r w:rsidR="00456D70" w:rsidRPr="00926F2B">
        <w:rPr>
          <w:sz w:val="28"/>
          <w:szCs w:val="28"/>
        </w:rPr>
        <w:t xml:space="preserve"> млн. руб., что меньше уточненных плановых назначений текущего года на </w:t>
      </w:r>
      <w:r w:rsidR="00456D70">
        <w:rPr>
          <w:sz w:val="28"/>
          <w:szCs w:val="28"/>
        </w:rPr>
        <w:t>28,5</w:t>
      </w:r>
      <w:r w:rsidR="00456D70" w:rsidRPr="00926F2B">
        <w:rPr>
          <w:sz w:val="28"/>
          <w:szCs w:val="28"/>
        </w:rPr>
        <w:t xml:space="preserve">%  или на  </w:t>
      </w:r>
      <w:r w:rsidR="00456D70">
        <w:rPr>
          <w:sz w:val="28"/>
          <w:szCs w:val="28"/>
        </w:rPr>
        <w:t>889,6</w:t>
      </w:r>
      <w:r w:rsidR="00456D70" w:rsidRPr="00926F2B">
        <w:rPr>
          <w:sz w:val="28"/>
          <w:szCs w:val="28"/>
        </w:rPr>
        <w:t xml:space="preserve">  млн. рублей. Доля в общем объеме расходов </w:t>
      </w:r>
      <w:r w:rsidR="00456D70">
        <w:rPr>
          <w:sz w:val="28"/>
          <w:szCs w:val="28"/>
        </w:rPr>
        <w:t>бюджета</w:t>
      </w:r>
      <w:r w:rsidR="00456D70" w:rsidRPr="00926F2B">
        <w:rPr>
          <w:sz w:val="28"/>
          <w:szCs w:val="28"/>
        </w:rPr>
        <w:t xml:space="preserve"> составляет </w:t>
      </w:r>
      <w:r w:rsidR="00456D70">
        <w:rPr>
          <w:sz w:val="28"/>
          <w:szCs w:val="28"/>
        </w:rPr>
        <w:t>20,0</w:t>
      </w:r>
      <w:r w:rsidR="00456D70" w:rsidRPr="00926F2B">
        <w:rPr>
          <w:sz w:val="28"/>
          <w:szCs w:val="28"/>
        </w:rPr>
        <w:t xml:space="preserve"> процент</w:t>
      </w:r>
      <w:r w:rsidR="00456D70">
        <w:rPr>
          <w:sz w:val="28"/>
          <w:szCs w:val="28"/>
        </w:rPr>
        <w:t>ов</w:t>
      </w:r>
      <w:r w:rsidR="00456D70" w:rsidRPr="00926F2B">
        <w:rPr>
          <w:sz w:val="28"/>
          <w:szCs w:val="28"/>
        </w:rPr>
        <w:t>.</w:t>
      </w:r>
    </w:p>
    <w:p w:rsidR="00456D70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>Расходы предусмотрены в рамках следующих муниципальных программ:</w:t>
      </w:r>
    </w:p>
    <w:p w:rsidR="00456D70" w:rsidRPr="00926F2B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территорий города Липецка» - 6,2 млн. руб.;</w:t>
      </w:r>
    </w:p>
    <w:p w:rsidR="00456D70" w:rsidRPr="00926F2B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транспорта и дорожного хозяйства города Липецка» - </w:t>
      </w:r>
      <w:r>
        <w:rPr>
          <w:sz w:val="28"/>
          <w:szCs w:val="28"/>
        </w:rPr>
        <w:t>2100,5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экономического потенциала города Липецка» - </w:t>
      </w:r>
      <w:r>
        <w:rPr>
          <w:sz w:val="28"/>
          <w:szCs w:val="28"/>
        </w:rPr>
        <w:t>26,2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«Градостроительная деятельность на территории города Липецка» - </w:t>
      </w:r>
      <w:r>
        <w:rPr>
          <w:sz w:val="28"/>
          <w:szCs w:val="28"/>
        </w:rPr>
        <w:t>94,2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культуры и туризма в городе Липецке» - </w:t>
      </w:r>
      <w:r>
        <w:rPr>
          <w:sz w:val="28"/>
          <w:szCs w:val="28"/>
        </w:rPr>
        <w:t>3,0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    - «Липецк – мы вместе!» - 0,1 млн. рублей.</w:t>
      </w:r>
    </w:p>
    <w:p w:rsidR="00456D70" w:rsidRPr="00926F2B" w:rsidRDefault="00456D70" w:rsidP="00456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  подразделу </w:t>
      </w:r>
      <w:r w:rsidRPr="00926F2B">
        <w:rPr>
          <w:b/>
          <w:i/>
          <w:sz w:val="28"/>
          <w:szCs w:val="28"/>
        </w:rPr>
        <w:t>«Транспорт»</w:t>
      </w:r>
      <w:r w:rsidRPr="00926F2B">
        <w:rPr>
          <w:sz w:val="28"/>
          <w:szCs w:val="28"/>
        </w:rPr>
        <w:t xml:space="preserve"> расходы составят </w:t>
      </w:r>
      <w:r>
        <w:rPr>
          <w:sz w:val="28"/>
          <w:szCs w:val="28"/>
        </w:rPr>
        <w:t>400,3</w:t>
      </w:r>
      <w:r w:rsidRPr="00926F2B">
        <w:rPr>
          <w:sz w:val="28"/>
          <w:szCs w:val="28"/>
        </w:rPr>
        <w:t xml:space="preserve"> млн. руб., из которых </w:t>
      </w:r>
      <w:r w:rsidR="0027129B">
        <w:rPr>
          <w:sz w:val="28"/>
          <w:szCs w:val="28"/>
        </w:rPr>
        <w:t xml:space="preserve"> </w:t>
      </w:r>
      <w:r>
        <w:rPr>
          <w:sz w:val="28"/>
          <w:szCs w:val="28"/>
        </w:rPr>
        <w:t>240</w:t>
      </w:r>
      <w:r w:rsidRPr="00926F2B">
        <w:rPr>
          <w:sz w:val="28"/>
          <w:szCs w:val="28"/>
        </w:rPr>
        <w:t xml:space="preserve">,0 млн. руб. </w:t>
      </w:r>
      <w:r w:rsidR="00EB495F">
        <w:rPr>
          <w:sz w:val="28"/>
          <w:szCs w:val="28"/>
        </w:rPr>
        <w:t>субсидии</w:t>
      </w:r>
      <w:r w:rsidRPr="00926F2B">
        <w:rPr>
          <w:sz w:val="28"/>
          <w:szCs w:val="28"/>
        </w:rPr>
        <w:t xml:space="preserve"> на возмещение части затрат, не покрытых доходами, связанных с осуществлением перевозок пассажиров автомобильным и городским наземным  электрическим транспортом по муниципальным  маршрутам регулярных перевозок по регулируемым тарифам в городе Липецке</w:t>
      </w:r>
      <w:r>
        <w:rPr>
          <w:sz w:val="28"/>
          <w:szCs w:val="28"/>
        </w:rPr>
        <w:t>.</w:t>
      </w:r>
      <w:r w:rsidRPr="00926F2B">
        <w:rPr>
          <w:sz w:val="28"/>
          <w:szCs w:val="28"/>
        </w:rPr>
        <w:t xml:space="preserve"> По отношен</w:t>
      </w:r>
      <w:r>
        <w:rPr>
          <w:sz w:val="28"/>
          <w:szCs w:val="28"/>
        </w:rPr>
        <w:t>ию к уточненному бюджету на 2018</w:t>
      </w:r>
      <w:r w:rsidRPr="00926F2B">
        <w:rPr>
          <w:sz w:val="28"/>
          <w:szCs w:val="28"/>
        </w:rPr>
        <w:t xml:space="preserve"> год планируется сокращение данных расходов на </w:t>
      </w:r>
      <w:r>
        <w:rPr>
          <w:sz w:val="28"/>
          <w:szCs w:val="28"/>
        </w:rPr>
        <w:t>22,6</w:t>
      </w:r>
      <w:r w:rsidRPr="00926F2B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70</w:t>
      </w:r>
      <w:r w:rsidRPr="00926F2B">
        <w:rPr>
          <w:sz w:val="28"/>
          <w:szCs w:val="28"/>
        </w:rPr>
        <w:t xml:space="preserve">,0 млн. рублей. </w:t>
      </w:r>
    </w:p>
    <w:p w:rsidR="00456D70" w:rsidRPr="00926F2B" w:rsidRDefault="005208E7" w:rsidP="00456D7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 рамках ст.78 Бюджетного кодекса РФ предусмотрена </w:t>
      </w:r>
      <w:r>
        <w:rPr>
          <w:rFonts w:eastAsiaTheme="minorHAnsi"/>
          <w:bCs/>
          <w:sz w:val="28"/>
          <w:szCs w:val="28"/>
          <w:lang w:eastAsia="en-US"/>
        </w:rPr>
        <w:t xml:space="preserve"> также 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субсидия на возмещение части затрат, не покрытых доходами, связанных с перевозкой пассажиров на сезонных (садоводческих) маршрутах в размере </w:t>
      </w:r>
      <w:r w:rsidR="00456D70">
        <w:rPr>
          <w:rFonts w:eastAsiaTheme="minorHAnsi"/>
          <w:bCs/>
          <w:sz w:val="28"/>
          <w:szCs w:val="28"/>
          <w:lang w:eastAsia="en-US"/>
        </w:rPr>
        <w:t>20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>,0 млн. р</w:t>
      </w:r>
      <w:r w:rsidR="00456D70">
        <w:rPr>
          <w:rFonts w:eastAsiaTheme="minorHAnsi"/>
          <w:bCs/>
          <w:sz w:val="28"/>
          <w:szCs w:val="28"/>
          <w:lang w:eastAsia="en-US"/>
        </w:rPr>
        <w:t>уб., что в 3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 раза меньше расходов текущего года.</w:t>
      </w:r>
    </w:p>
    <w:p w:rsidR="00456D70" w:rsidRPr="002C7385" w:rsidRDefault="00EB495F" w:rsidP="00456D7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Дополнительно п</w:t>
      </w:r>
      <w:r w:rsidR="00456D70">
        <w:rPr>
          <w:sz w:val="28"/>
          <w:szCs w:val="28"/>
        </w:rPr>
        <w:t>о данному по</w:t>
      </w:r>
      <w:r w:rsidR="00456D70" w:rsidRPr="00926F2B">
        <w:rPr>
          <w:sz w:val="28"/>
          <w:szCs w:val="28"/>
        </w:rPr>
        <w:t>драздел</w:t>
      </w:r>
      <w:r w:rsidR="00456D70">
        <w:rPr>
          <w:sz w:val="28"/>
          <w:szCs w:val="28"/>
        </w:rPr>
        <w:t xml:space="preserve">у </w:t>
      </w:r>
      <w:r w:rsidR="00456D70" w:rsidRPr="00926F2B">
        <w:rPr>
          <w:i/>
          <w:sz w:val="28"/>
          <w:szCs w:val="28"/>
        </w:rPr>
        <w:t xml:space="preserve"> 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предусмотрены средства </w:t>
      </w:r>
      <w:r w:rsidR="00456D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456D70">
        <w:rPr>
          <w:rFonts w:eastAsiaTheme="minorHAnsi"/>
          <w:bCs/>
          <w:sz w:val="28"/>
          <w:szCs w:val="28"/>
          <w:lang w:eastAsia="en-US"/>
        </w:rPr>
        <w:t xml:space="preserve"> приобретение 5 электробусов на условиях </w:t>
      </w:r>
      <w:proofErr w:type="spellStart"/>
      <w:r w:rsidR="00456D70">
        <w:rPr>
          <w:rFonts w:eastAsiaTheme="minorHAnsi"/>
          <w:bCs/>
          <w:sz w:val="28"/>
          <w:szCs w:val="28"/>
          <w:lang w:eastAsia="en-US"/>
        </w:rPr>
        <w:t>софинансирования</w:t>
      </w:r>
      <w:proofErr w:type="spellEnd"/>
      <w:r w:rsidR="00456D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  с областным бюджетом в размере </w:t>
      </w:r>
      <w:r w:rsidR="00456D70">
        <w:rPr>
          <w:rFonts w:eastAsiaTheme="minorHAnsi"/>
          <w:bCs/>
          <w:sz w:val="28"/>
          <w:szCs w:val="28"/>
          <w:lang w:eastAsia="en-US"/>
        </w:rPr>
        <w:t>57,7</w:t>
      </w:r>
      <w:r w:rsidR="00456D70" w:rsidRPr="00926F2B">
        <w:rPr>
          <w:rFonts w:eastAsiaTheme="minorHAnsi"/>
          <w:bCs/>
          <w:sz w:val="28"/>
          <w:szCs w:val="28"/>
          <w:lang w:eastAsia="en-US"/>
        </w:rPr>
        <w:t xml:space="preserve"> млн. руб</w:t>
      </w:r>
      <w:r w:rsidR="00456D70">
        <w:rPr>
          <w:rFonts w:eastAsiaTheme="minorHAnsi"/>
          <w:bCs/>
          <w:sz w:val="28"/>
          <w:szCs w:val="28"/>
          <w:lang w:eastAsia="en-US"/>
        </w:rPr>
        <w:t>., из которых 17,3 млн. руб. – средства бюджета города и 40,4 млн. руб. – прочие безвозмездные средства, планируемые к поступлению из вышестоящих бюджетов.</w:t>
      </w:r>
    </w:p>
    <w:p w:rsidR="00456D70" w:rsidRPr="00926F2B" w:rsidRDefault="00456D70" w:rsidP="00456D7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6F2B">
        <w:rPr>
          <w:rFonts w:eastAsiaTheme="minorHAnsi"/>
          <w:bCs/>
          <w:sz w:val="28"/>
          <w:szCs w:val="28"/>
          <w:lang w:eastAsia="en-US"/>
        </w:rPr>
        <w:t xml:space="preserve">Кроме того, </w:t>
      </w:r>
      <w:r>
        <w:rPr>
          <w:sz w:val="28"/>
          <w:szCs w:val="28"/>
        </w:rPr>
        <w:t xml:space="preserve">департаменту транспорта </w:t>
      </w:r>
      <w:r w:rsidRPr="00926F2B">
        <w:rPr>
          <w:rFonts w:eastAsiaTheme="minorHAnsi"/>
          <w:bCs/>
          <w:sz w:val="28"/>
          <w:szCs w:val="28"/>
          <w:lang w:eastAsia="en-US"/>
        </w:rPr>
        <w:t>предусмотрены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926F2B">
        <w:rPr>
          <w:sz w:val="28"/>
          <w:szCs w:val="28"/>
        </w:rPr>
        <w:t xml:space="preserve"> на оплату лизинговых платежей </w:t>
      </w:r>
      <w:r>
        <w:rPr>
          <w:sz w:val="28"/>
          <w:szCs w:val="28"/>
        </w:rPr>
        <w:t xml:space="preserve">по </w:t>
      </w:r>
      <w:r w:rsidRPr="00926F2B">
        <w:rPr>
          <w:sz w:val="28"/>
          <w:szCs w:val="28"/>
        </w:rPr>
        <w:t xml:space="preserve"> приобрете</w:t>
      </w:r>
      <w:r>
        <w:rPr>
          <w:sz w:val="28"/>
          <w:szCs w:val="28"/>
        </w:rPr>
        <w:t xml:space="preserve">нному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2017 году </w:t>
      </w:r>
      <w:r w:rsidRPr="00926F2B">
        <w:rPr>
          <w:sz w:val="28"/>
          <w:szCs w:val="28"/>
        </w:rPr>
        <w:t>подвижн</w:t>
      </w:r>
      <w:r>
        <w:rPr>
          <w:sz w:val="28"/>
          <w:szCs w:val="28"/>
        </w:rPr>
        <w:t>ому</w:t>
      </w:r>
      <w:r w:rsidRPr="00926F2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у</w:t>
      </w:r>
      <w:r w:rsidRPr="00926F2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49,9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926F2B">
        <w:rPr>
          <w:sz w:val="28"/>
          <w:szCs w:val="28"/>
        </w:rPr>
        <w:t xml:space="preserve">. </w:t>
      </w:r>
    </w:p>
    <w:p w:rsidR="00456D70" w:rsidRDefault="00456D70" w:rsidP="00456D7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6F2B">
        <w:rPr>
          <w:rFonts w:eastAsiaTheme="minorHAnsi"/>
          <w:bCs/>
          <w:sz w:val="28"/>
          <w:szCs w:val="28"/>
          <w:lang w:eastAsia="en-US"/>
        </w:rPr>
        <w:lastRenderedPageBreak/>
        <w:t>В целом на поддержку организации перевозок пассажиров в 201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году</w:t>
      </w:r>
      <w:r w:rsidRPr="00926F2B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планируется 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направ</w:t>
      </w:r>
      <w:r>
        <w:rPr>
          <w:rFonts w:eastAsiaTheme="minorHAnsi"/>
          <w:bCs/>
          <w:sz w:val="28"/>
          <w:szCs w:val="28"/>
          <w:lang w:eastAsia="en-US"/>
        </w:rPr>
        <w:t>ить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367,6 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м</w:t>
      </w:r>
      <w:r>
        <w:rPr>
          <w:rFonts w:eastAsiaTheme="minorHAnsi"/>
          <w:bCs/>
          <w:sz w:val="28"/>
          <w:szCs w:val="28"/>
          <w:lang w:eastAsia="en-US"/>
        </w:rPr>
        <w:t>лн. руб., при этом первоначальный бюджет на 2018 год предусматривал средства в объеме 303,2 млн. рублей.</w:t>
      </w:r>
    </w:p>
    <w:p w:rsidR="00456D70" w:rsidRPr="00926F2B" w:rsidRDefault="00456D70" w:rsidP="00456D7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6F2B">
        <w:rPr>
          <w:rFonts w:eastAsiaTheme="minorHAnsi"/>
          <w:bCs/>
          <w:sz w:val="28"/>
          <w:szCs w:val="28"/>
          <w:lang w:eastAsia="en-US"/>
        </w:rPr>
        <w:t xml:space="preserve">В рамках данного подраздела предусмотрены средства на финансовое обеспечение деятельности  департамента транспорта и департамента  дорожного хозяйства и благоустройства в размере </w:t>
      </w:r>
      <w:r>
        <w:rPr>
          <w:rFonts w:eastAsiaTheme="minorHAnsi"/>
          <w:bCs/>
          <w:sz w:val="28"/>
          <w:szCs w:val="28"/>
          <w:lang w:eastAsia="en-US"/>
        </w:rPr>
        <w:t>30,6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млн. руб.</w:t>
      </w:r>
      <w:r>
        <w:rPr>
          <w:rFonts w:eastAsiaTheme="minorHAnsi"/>
          <w:bCs/>
          <w:sz w:val="28"/>
          <w:szCs w:val="28"/>
          <w:lang w:eastAsia="en-US"/>
        </w:rPr>
        <w:t xml:space="preserve"> и на выполнение муниципального задания МБУ «Липецкая городская транспортная компания» в сумме 2,0 млн. рублей.</w:t>
      </w:r>
    </w:p>
    <w:p w:rsidR="00456D70" w:rsidRDefault="00456D70" w:rsidP="00456D7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926F2B">
        <w:rPr>
          <w:sz w:val="28"/>
          <w:szCs w:val="28"/>
        </w:rPr>
        <w:t xml:space="preserve">По подразделу </w:t>
      </w:r>
      <w:r w:rsidRPr="00926F2B">
        <w:rPr>
          <w:b/>
          <w:i/>
          <w:sz w:val="28"/>
          <w:szCs w:val="28"/>
        </w:rPr>
        <w:t>«Дорожное хозяйство (дорожные фонды)»</w:t>
      </w:r>
      <w:r w:rsidRPr="00926F2B">
        <w:rPr>
          <w:sz w:val="28"/>
          <w:szCs w:val="28"/>
        </w:rPr>
        <w:t xml:space="preserve"> запланированы бюджетные ассигнования в сумме </w:t>
      </w:r>
      <w:r>
        <w:rPr>
          <w:sz w:val="28"/>
          <w:szCs w:val="28"/>
        </w:rPr>
        <w:t>1700,2</w:t>
      </w:r>
      <w:r w:rsidRPr="00926F2B">
        <w:rPr>
          <w:sz w:val="28"/>
          <w:szCs w:val="28"/>
        </w:rPr>
        <w:t xml:space="preserve"> млн. руб., которые будут осваиваться в рамках </w:t>
      </w:r>
      <w:r w:rsidR="00F51629">
        <w:rPr>
          <w:sz w:val="28"/>
          <w:szCs w:val="28"/>
        </w:rPr>
        <w:t xml:space="preserve">муниципальной </w:t>
      </w:r>
      <w:r w:rsidRPr="00926F2B">
        <w:rPr>
          <w:sz w:val="28"/>
          <w:szCs w:val="28"/>
        </w:rPr>
        <w:t>программы «Развитие транспорта и дорожного хозяйства города Липецка»</w:t>
      </w:r>
      <w:r>
        <w:rPr>
          <w:sz w:val="28"/>
          <w:szCs w:val="28"/>
        </w:rPr>
        <w:t>. Значительную часть средств (61,</w:t>
      </w:r>
      <w:r w:rsidR="000B66EA">
        <w:rPr>
          <w:sz w:val="28"/>
          <w:szCs w:val="28"/>
        </w:rPr>
        <w:t>7</w:t>
      </w:r>
      <w:r>
        <w:rPr>
          <w:sz w:val="28"/>
          <w:szCs w:val="28"/>
        </w:rPr>
        <w:t xml:space="preserve">%)    планируется направить на реализацию приоритетного проекта «Безопасные и качественные дороги». </w:t>
      </w:r>
      <w:proofErr w:type="gramStart"/>
      <w:r>
        <w:rPr>
          <w:sz w:val="28"/>
          <w:szCs w:val="28"/>
        </w:rPr>
        <w:t>Следует отметить, что с 2019 года начинается второй этап проекта, предусматривающий реконструкцию дорог, в связи с этим,  в 2019 году наряду с выделением средств  на капитальный ремонт и ремонт автомобильных дорог  в сумме  59</w:t>
      </w:r>
      <w:r w:rsidR="000B66EA">
        <w:rPr>
          <w:sz w:val="28"/>
          <w:szCs w:val="28"/>
        </w:rPr>
        <w:t>6</w:t>
      </w:r>
      <w:r>
        <w:rPr>
          <w:sz w:val="28"/>
          <w:szCs w:val="28"/>
        </w:rPr>
        <w:t>,2 млн. руб.,  предусмотрены средства   на реконструкцию проспекта Победы с благоустройством прилегающей территории - 453,1 млн. руб. (на плановый период 2020 года – 649,9 млн. руб.).</w:t>
      </w:r>
      <w:proofErr w:type="gramEnd"/>
      <w:r w:rsidRPr="009F079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 реализации</w:t>
      </w:r>
      <w:r w:rsidRPr="00926F2B">
        <w:rPr>
          <w:sz w:val="28"/>
          <w:szCs w:val="28"/>
        </w:rPr>
        <w:t xml:space="preserve"> приоритетного проекта «Безопасные и качественные дороги»</w:t>
      </w:r>
      <w:r>
        <w:rPr>
          <w:sz w:val="28"/>
          <w:szCs w:val="28"/>
        </w:rPr>
        <w:t xml:space="preserve"> д</w:t>
      </w:r>
      <w:r w:rsidRPr="00926F2B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926F2B">
        <w:rPr>
          <w:sz w:val="28"/>
          <w:szCs w:val="28"/>
        </w:rPr>
        <w:t xml:space="preserve"> протяженности </w:t>
      </w:r>
      <w:proofErr w:type="gramStart"/>
      <w:r w:rsidRPr="00926F2B">
        <w:rPr>
          <w:sz w:val="28"/>
          <w:szCs w:val="28"/>
        </w:rPr>
        <w:t>дорог общего пользования местного значения, не отвечающих нормативным требованиям</w:t>
      </w:r>
      <w:r>
        <w:rPr>
          <w:sz w:val="28"/>
          <w:szCs w:val="28"/>
        </w:rPr>
        <w:t xml:space="preserve"> в 2019 году по сравнению с началом реализации проекта будет</w:t>
      </w:r>
      <w:proofErr w:type="gramEnd"/>
      <w:r>
        <w:rPr>
          <w:sz w:val="28"/>
          <w:szCs w:val="28"/>
        </w:rPr>
        <w:t xml:space="preserve"> сокращена на 10%  и составит 32,1 процентов.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данному подразделу предусмотрены бюджетные ассигнования  на </w:t>
      </w:r>
      <w:r w:rsidRPr="00926F2B">
        <w:rPr>
          <w:sz w:val="28"/>
          <w:szCs w:val="28"/>
        </w:rPr>
        <w:t>реконструкцию и усиление Петровского моста через реку Воронеж</w:t>
      </w:r>
      <w:r>
        <w:rPr>
          <w:sz w:val="28"/>
          <w:szCs w:val="28"/>
        </w:rPr>
        <w:t xml:space="preserve">  (123,9 млн. руб.), реконструкцию автодороги по ул. Папина (80,0 млн. руб.),  разработку и корректировку проектно-сметной документации (9,0 млн. руб.).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данному подразделу</w:t>
      </w:r>
      <w:r w:rsidRPr="00926F2B">
        <w:rPr>
          <w:sz w:val="28"/>
          <w:szCs w:val="28"/>
        </w:rPr>
        <w:t xml:space="preserve">  планиру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тся направить </w:t>
      </w:r>
      <w:r>
        <w:rPr>
          <w:sz w:val="28"/>
          <w:szCs w:val="28"/>
        </w:rPr>
        <w:t>362,1 млн. руб.  в виде субсидий МБУ «Управление благоустройства г. Липецка»    на выполнение работ по уборке территорий и ремонту дорог местного значения  и МКП «</w:t>
      </w:r>
      <w:proofErr w:type="spellStart"/>
      <w:r>
        <w:rPr>
          <w:sz w:val="28"/>
          <w:szCs w:val="28"/>
        </w:rPr>
        <w:t>Липецкгорсвет</w:t>
      </w:r>
      <w:proofErr w:type="spellEnd"/>
      <w:r>
        <w:rPr>
          <w:sz w:val="28"/>
          <w:szCs w:val="28"/>
        </w:rPr>
        <w:t>», которое будет  преобразовано в муниципальное бюджетное учреждение с 2019 года,  на содержание светофорных объектов</w:t>
      </w:r>
      <w:r w:rsidRPr="00926F2B">
        <w:rPr>
          <w:sz w:val="28"/>
          <w:szCs w:val="28"/>
        </w:rPr>
        <w:t xml:space="preserve">. 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</w:t>
      </w:r>
      <w:r w:rsidR="00DC4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</w:t>
      </w:r>
      <w:r w:rsidRPr="00926F2B">
        <w:rPr>
          <w:sz w:val="28"/>
          <w:szCs w:val="28"/>
        </w:rPr>
        <w:t xml:space="preserve"> предусмотрены расходы на приобретение спецтехники в объеме   </w:t>
      </w:r>
      <w:r>
        <w:rPr>
          <w:sz w:val="28"/>
          <w:szCs w:val="28"/>
        </w:rPr>
        <w:t>4,2</w:t>
      </w:r>
      <w:r w:rsidRPr="00926F2B">
        <w:rPr>
          <w:sz w:val="28"/>
          <w:szCs w:val="28"/>
        </w:rPr>
        <w:t xml:space="preserve"> млн. рублей.</w:t>
      </w:r>
    </w:p>
    <w:p w:rsidR="00456D70" w:rsidRPr="00392267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 </w:t>
      </w:r>
      <w:r w:rsidRPr="00392267">
        <w:rPr>
          <w:b/>
          <w:i/>
          <w:sz w:val="28"/>
          <w:szCs w:val="28"/>
        </w:rPr>
        <w:t>«Сельское хозяйство и рыболовство»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средства  в виде субвенций на проведение мероприятий по отлову и содержанию  безнадзорных животных в сумме 6,2 млн. рублей.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В подразделе </w:t>
      </w:r>
      <w:r w:rsidRPr="00392267">
        <w:rPr>
          <w:b/>
          <w:i/>
          <w:sz w:val="28"/>
          <w:szCs w:val="28"/>
        </w:rPr>
        <w:t>«Другие вопросы в области национальной экономики»</w:t>
      </w:r>
      <w:r w:rsidRPr="00926F2B">
        <w:rPr>
          <w:sz w:val="28"/>
          <w:szCs w:val="28"/>
        </w:rPr>
        <w:t xml:space="preserve"> отражены ра</w:t>
      </w:r>
      <w:r>
        <w:rPr>
          <w:sz w:val="28"/>
          <w:szCs w:val="28"/>
        </w:rPr>
        <w:t>сходы,</w:t>
      </w:r>
      <w:r w:rsidRPr="00926F2B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яемые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26F2B">
        <w:rPr>
          <w:sz w:val="28"/>
          <w:szCs w:val="28"/>
        </w:rPr>
        <w:t xml:space="preserve">подготовку площадок для размещения резидентов и инфраструктуры </w:t>
      </w:r>
      <w:r w:rsidR="00CE70D7">
        <w:rPr>
          <w:sz w:val="28"/>
          <w:szCs w:val="28"/>
        </w:rPr>
        <w:t>т</w:t>
      </w:r>
      <w:r w:rsidRPr="00926F2B">
        <w:rPr>
          <w:sz w:val="28"/>
          <w:szCs w:val="28"/>
        </w:rPr>
        <w:t>ехнопарка</w:t>
      </w:r>
      <w:r>
        <w:rPr>
          <w:sz w:val="28"/>
          <w:szCs w:val="28"/>
        </w:rPr>
        <w:t xml:space="preserve">, на реконструкцию производственных помещений  под единый корпус опытно-экспериментальных исследований в объеме 2,6 млн. руб., что более чем в 2 раза превышает первоначальные плановые назначения на 2018 год. В течение 2018 года </w:t>
      </w:r>
      <w:r w:rsidR="0027129B">
        <w:rPr>
          <w:sz w:val="28"/>
          <w:szCs w:val="28"/>
        </w:rPr>
        <w:t xml:space="preserve">на эти цели выделялось финансирование из федерального </w:t>
      </w:r>
      <w:r w:rsidR="0027129B">
        <w:rPr>
          <w:sz w:val="28"/>
          <w:szCs w:val="28"/>
        </w:rPr>
        <w:lastRenderedPageBreak/>
        <w:t xml:space="preserve">бюджета, в результате  </w:t>
      </w:r>
      <w:r>
        <w:rPr>
          <w:sz w:val="28"/>
          <w:szCs w:val="28"/>
        </w:rPr>
        <w:t>расходы на реконструкцию помещений возросл</w:t>
      </w:r>
      <w:r w:rsidR="0064717F">
        <w:rPr>
          <w:sz w:val="28"/>
          <w:szCs w:val="28"/>
        </w:rPr>
        <w:t>и</w:t>
      </w:r>
      <w:r>
        <w:rPr>
          <w:sz w:val="28"/>
          <w:szCs w:val="28"/>
        </w:rPr>
        <w:t xml:space="preserve"> до 126,4 млн. рублей.  </w:t>
      </w:r>
    </w:p>
    <w:p w:rsidR="00DC4193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данному подразделу отражены расходы </w:t>
      </w:r>
      <w:r w:rsidRPr="00926F2B">
        <w:rPr>
          <w:sz w:val="28"/>
          <w:szCs w:val="28"/>
        </w:rPr>
        <w:t>на</w:t>
      </w:r>
      <w:r w:rsidRPr="004E1A3A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своевременную  и качественную организацию градостроительного процесса на территории города,  для проведения событийных мероприятий туристской направленности.</w:t>
      </w:r>
    </w:p>
    <w:p w:rsidR="00192428" w:rsidRPr="00926F2B" w:rsidRDefault="00192428" w:rsidP="00456D70">
      <w:pPr>
        <w:ind w:firstLine="709"/>
        <w:jc w:val="both"/>
        <w:rPr>
          <w:sz w:val="28"/>
          <w:szCs w:val="28"/>
        </w:rPr>
      </w:pPr>
    </w:p>
    <w:p w:rsidR="00456D70" w:rsidRPr="00926F2B" w:rsidRDefault="00456D70" w:rsidP="00C020E9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По разделу   </w:t>
      </w:r>
      <w:r w:rsidRPr="00926F2B">
        <w:rPr>
          <w:b/>
          <w:sz w:val="28"/>
          <w:szCs w:val="28"/>
        </w:rPr>
        <w:t xml:space="preserve">«Жилищно-коммунальное хозяйство» </w:t>
      </w:r>
      <w:r w:rsidRPr="00926F2B">
        <w:rPr>
          <w:sz w:val="28"/>
          <w:szCs w:val="28"/>
        </w:rPr>
        <w:t>бюджетные ассигнования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г. предусмотрены в сумме </w:t>
      </w:r>
      <w:r>
        <w:rPr>
          <w:sz w:val="28"/>
          <w:szCs w:val="28"/>
        </w:rPr>
        <w:t>876,6</w:t>
      </w:r>
      <w:r w:rsidRPr="00926F2B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или со снижением к уточненному уровню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35,3</w:t>
      </w:r>
      <w:r w:rsidRPr="00926F2B">
        <w:rPr>
          <w:sz w:val="28"/>
          <w:szCs w:val="28"/>
        </w:rPr>
        <w:t xml:space="preserve"> %.  Доля в общем объеме расходов городского бюджета 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7,8</w:t>
      </w:r>
      <w:r w:rsidRPr="00926F2B">
        <w:rPr>
          <w:sz w:val="28"/>
          <w:szCs w:val="28"/>
        </w:rPr>
        <w:t xml:space="preserve"> %.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>Программные ме</w:t>
      </w:r>
      <w:r>
        <w:rPr>
          <w:sz w:val="28"/>
          <w:szCs w:val="28"/>
        </w:rPr>
        <w:t>роприятия раздела на сумму 840,5 млн. руб. (95,9</w:t>
      </w:r>
      <w:r w:rsidRPr="00926F2B">
        <w:rPr>
          <w:sz w:val="28"/>
          <w:szCs w:val="28"/>
        </w:rPr>
        <w:t xml:space="preserve"> %) будут реализованы  в рамках </w:t>
      </w:r>
      <w:r>
        <w:rPr>
          <w:sz w:val="28"/>
          <w:szCs w:val="28"/>
        </w:rPr>
        <w:t>пяти</w:t>
      </w:r>
      <w:r w:rsidRPr="00926F2B">
        <w:rPr>
          <w:sz w:val="28"/>
          <w:szCs w:val="28"/>
        </w:rPr>
        <w:t xml:space="preserve"> муниципальных программ: 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Развитие жилищно-коммунального хозяйства города Липецка</w:t>
      </w:r>
      <w:r>
        <w:rPr>
          <w:sz w:val="28"/>
          <w:szCs w:val="28"/>
        </w:rPr>
        <w:t>»</w:t>
      </w:r>
      <w:r w:rsidRPr="00926F2B">
        <w:rPr>
          <w:sz w:val="28"/>
          <w:szCs w:val="28"/>
        </w:rPr>
        <w:t xml:space="preserve"> – </w:t>
      </w:r>
      <w:r>
        <w:rPr>
          <w:sz w:val="28"/>
          <w:szCs w:val="28"/>
        </w:rPr>
        <w:t>140,3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Развитие экономического потенциала города Липецк</w:t>
      </w:r>
      <w:r>
        <w:rPr>
          <w:sz w:val="28"/>
          <w:szCs w:val="28"/>
        </w:rPr>
        <w:t>а» – 0,3 млн</w:t>
      </w:r>
      <w:r w:rsidRPr="00926F2B">
        <w:rPr>
          <w:sz w:val="28"/>
          <w:szCs w:val="28"/>
        </w:rPr>
        <w:t>. руб.;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Благоустройство территории города Липецка</w:t>
      </w:r>
      <w:r>
        <w:rPr>
          <w:sz w:val="28"/>
          <w:szCs w:val="28"/>
        </w:rPr>
        <w:t>»</w:t>
      </w:r>
      <w:r w:rsidRPr="00926F2B">
        <w:rPr>
          <w:sz w:val="28"/>
          <w:szCs w:val="28"/>
        </w:rPr>
        <w:t xml:space="preserve"> – </w:t>
      </w:r>
      <w:r>
        <w:rPr>
          <w:sz w:val="28"/>
          <w:szCs w:val="28"/>
        </w:rPr>
        <w:t>278,4</w:t>
      </w:r>
      <w:r w:rsidRPr="00926F2B">
        <w:rPr>
          <w:sz w:val="28"/>
          <w:szCs w:val="28"/>
        </w:rPr>
        <w:t xml:space="preserve"> млн. руб.;</w:t>
      </w:r>
    </w:p>
    <w:p w:rsidR="00456D70" w:rsidRDefault="00456D70" w:rsidP="00456D70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«</w:t>
      </w:r>
      <w:r w:rsidRPr="00926F2B">
        <w:rPr>
          <w:sz w:val="28"/>
          <w:szCs w:val="28"/>
        </w:rPr>
        <w:t>Охрана окружающей среды города Липецка</w:t>
      </w:r>
      <w:r>
        <w:rPr>
          <w:sz w:val="28"/>
          <w:szCs w:val="28"/>
        </w:rPr>
        <w:t>»</w:t>
      </w:r>
      <w:r w:rsidRPr="00926F2B">
        <w:rPr>
          <w:sz w:val="28"/>
          <w:szCs w:val="28"/>
        </w:rPr>
        <w:t xml:space="preserve"> – </w:t>
      </w:r>
      <w:r>
        <w:rPr>
          <w:sz w:val="28"/>
          <w:szCs w:val="28"/>
        </w:rPr>
        <w:t>105,0</w:t>
      </w:r>
      <w:r w:rsidRPr="003814D7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млн. руб.;</w:t>
      </w:r>
    </w:p>
    <w:p w:rsidR="00456D70" w:rsidRPr="00926F2B" w:rsidRDefault="00456D70" w:rsidP="00456D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«Формирование современной городской среды города Липецка» - 316,5 млн. </w:t>
      </w:r>
      <w:r w:rsidRPr="00926F2B">
        <w:rPr>
          <w:sz w:val="28"/>
          <w:szCs w:val="28"/>
        </w:rPr>
        <w:t xml:space="preserve"> рублей.</w:t>
      </w: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926F2B">
        <w:rPr>
          <w:sz w:val="28"/>
          <w:szCs w:val="28"/>
        </w:rPr>
        <w:t xml:space="preserve">кращение бюджетных ассигнований </w:t>
      </w:r>
      <w:r>
        <w:rPr>
          <w:sz w:val="28"/>
          <w:szCs w:val="28"/>
        </w:rPr>
        <w:t xml:space="preserve">(по сравнению с уточненным бюджетом на 2018 год) </w:t>
      </w:r>
      <w:r w:rsidRPr="00926F2B">
        <w:rPr>
          <w:sz w:val="28"/>
          <w:szCs w:val="28"/>
        </w:rPr>
        <w:t>отмечается  по всем направлениям расходования средств</w:t>
      </w:r>
      <w:r>
        <w:rPr>
          <w:sz w:val="28"/>
          <w:szCs w:val="28"/>
        </w:rPr>
        <w:t>.</w:t>
      </w:r>
    </w:p>
    <w:p w:rsidR="007051F4" w:rsidRDefault="007051F4" w:rsidP="007051F4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подразделу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Жилищное хозяйство</w:t>
      </w:r>
      <w:r w:rsidRPr="00926F2B">
        <w:rPr>
          <w:b/>
          <w:sz w:val="28"/>
          <w:szCs w:val="28"/>
        </w:rPr>
        <w:t>»</w:t>
      </w:r>
      <w:r w:rsidRPr="00926F2B">
        <w:rPr>
          <w:sz w:val="28"/>
          <w:szCs w:val="28"/>
        </w:rPr>
        <w:t xml:space="preserve"> объем финансирования составит 11</w:t>
      </w:r>
      <w:r>
        <w:rPr>
          <w:sz w:val="28"/>
          <w:szCs w:val="28"/>
        </w:rPr>
        <w:t>4,5</w:t>
      </w:r>
      <w:r w:rsidRPr="00926F2B">
        <w:rPr>
          <w:sz w:val="28"/>
          <w:szCs w:val="28"/>
        </w:rPr>
        <w:t xml:space="preserve"> млн. рублей. </w:t>
      </w:r>
      <w:r>
        <w:rPr>
          <w:sz w:val="28"/>
          <w:szCs w:val="28"/>
        </w:rPr>
        <w:t>По сравнению с уточненным бюджетом на 2018 год, снижение составит 19,4% или 27,5 млн. руб., что в основном связано с сокращением бюджетных</w:t>
      </w:r>
      <w:r w:rsidRPr="00926F2B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 xml:space="preserve">й на снос расселенных аварийных домов, на приобретение жилья по решению суда,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 потребности в средствах на обеспечение  капитального ремонта муниципального жилищного фонда города Липецка.</w:t>
      </w:r>
    </w:p>
    <w:p w:rsidR="007051F4" w:rsidRDefault="007051F4" w:rsidP="007051F4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По данному подразделу запланированы расходы  на финансирование части затрат по капитальному ремонту общего имущества в многоквартирных домах (4</w:t>
      </w:r>
      <w:r>
        <w:rPr>
          <w:sz w:val="28"/>
          <w:szCs w:val="28"/>
        </w:rPr>
        <w:t>5</w:t>
      </w:r>
      <w:r w:rsidRPr="00926F2B">
        <w:rPr>
          <w:sz w:val="28"/>
          <w:szCs w:val="28"/>
        </w:rPr>
        <w:t>,0 млн. руб.), на снос расселенных аварийных домов (</w:t>
      </w:r>
      <w:r>
        <w:rPr>
          <w:sz w:val="28"/>
          <w:szCs w:val="28"/>
        </w:rPr>
        <w:t>3</w:t>
      </w:r>
      <w:r w:rsidRPr="00926F2B">
        <w:rPr>
          <w:sz w:val="28"/>
          <w:szCs w:val="28"/>
        </w:rPr>
        <w:t xml:space="preserve">,0 млн. руб.), </w:t>
      </w:r>
      <w:r>
        <w:rPr>
          <w:sz w:val="28"/>
          <w:szCs w:val="28"/>
        </w:rPr>
        <w:t>на уплату взносов на капитальный ремонт муниципального жилищного фонда города (17,6 млн. руб.).</w:t>
      </w:r>
    </w:p>
    <w:p w:rsidR="007051F4" w:rsidRDefault="007051F4" w:rsidP="00705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предусмотрены средства в размере  2,6 млн. руб. на проведение ремонта 16 жилых помещений для повторного заселения, с целью исполнения  полномочий по обеспечению  жильем </w:t>
      </w:r>
      <w:r w:rsidRPr="003F4C1E">
        <w:rPr>
          <w:sz w:val="28"/>
          <w:szCs w:val="28"/>
        </w:rPr>
        <w:t>нуждающихся в улучшении жилищных условий</w:t>
      </w:r>
      <w:r>
        <w:rPr>
          <w:sz w:val="28"/>
          <w:szCs w:val="28"/>
        </w:rPr>
        <w:t>.</w:t>
      </w:r>
    </w:p>
    <w:p w:rsidR="007051F4" w:rsidRPr="005208E7" w:rsidRDefault="007051F4" w:rsidP="007051F4">
      <w:pPr>
        <w:ind w:firstLine="708"/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5208E7">
        <w:rPr>
          <w:i/>
          <w:sz w:val="28"/>
          <w:szCs w:val="28"/>
        </w:rPr>
        <w:t xml:space="preserve">Следует отметить, что нуждающихся в улучшении жилищных условий и вставших на учет до 01.03.2005 года и малоимущих граждан   на сегодняшний день  порядка 6000 очередников.   </w:t>
      </w:r>
    </w:p>
    <w:p w:rsidR="007051F4" w:rsidRPr="005208E7" w:rsidRDefault="007051F4" w:rsidP="007051F4">
      <w:pPr>
        <w:ind w:firstLine="708"/>
        <w:jc w:val="both"/>
        <w:rPr>
          <w:i/>
          <w:sz w:val="28"/>
          <w:szCs w:val="28"/>
        </w:rPr>
      </w:pPr>
      <w:r w:rsidRPr="005208E7">
        <w:rPr>
          <w:i/>
          <w:sz w:val="28"/>
          <w:szCs w:val="28"/>
        </w:rPr>
        <w:t xml:space="preserve">  Таким образом, планируемые средства не позволят в достаточной мере исполнять полномочия, возложенные на муниципалитет.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proofErr w:type="gramStart"/>
      <w:r w:rsidRPr="00926F2B">
        <w:rPr>
          <w:sz w:val="28"/>
          <w:szCs w:val="28"/>
        </w:rPr>
        <w:lastRenderedPageBreak/>
        <w:t xml:space="preserve">По подразделу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Коммунальное хозяйство</w:t>
      </w:r>
      <w:r w:rsidRPr="00926F2B">
        <w:rPr>
          <w:b/>
          <w:sz w:val="28"/>
          <w:szCs w:val="28"/>
        </w:rPr>
        <w:t>»</w:t>
      </w:r>
      <w:r w:rsidRPr="00926F2B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1,4</w:t>
      </w:r>
      <w:r w:rsidRPr="00926F2B">
        <w:rPr>
          <w:sz w:val="28"/>
          <w:szCs w:val="28"/>
        </w:rPr>
        <w:t xml:space="preserve"> млн. руб., 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из них  1,0 млн. руб. запланирован на техническую инвентаризацию и паспортизацию бесхозяйных объектов инженерной инфраструктуры жилищно-коммунального хозяйства</w:t>
      </w:r>
      <w:r>
        <w:rPr>
          <w:sz w:val="28"/>
          <w:szCs w:val="28"/>
        </w:rPr>
        <w:t xml:space="preserve">, 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0,2</w:t>
      </w:r>
      <w:r w:rsidRPr="00926F2B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на </w:t>
      </w:r>
      <w:r w:rsidRPr="00926F2B">
        <w:rPr>
          <w:sz w:val="28"/>
          <w:szCs w:val="28"/>
        </w:rPr>
        <w:t>мероприятия в области энергосбережения и энергоэффективности</w:t>
      </w:r>
      <w:r>
        <w:rPr>
          <w:sz w:val="28"/>
          <w:szCs w:val="28"/>
        </w:rPr>
        <w:t xml:space="preserve"> и 0,2 млн. руб. на обеспечение эффективного использования муниципального жилищного фонда и муниципальных инженерных сетей, включенных в состав муниципальной казны</w:t>
      </w:r>
      <w:r w:rsidRPr="00926F2B">
        <w:rPr>
          <w:sz w:val="28"/>
          <w:szCs w:val="28"/>
        </w:rPr>
        <w:t>.</w:t>
      </w:r>
      <w:proofErr w:type="gramEnd"/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На  у</w:t>
      </w:r>
      <w:r w:rsidRPr="00F42089">
        <w:rPr>
          <w:sz w:val="28"/>
          <w:szCs w:val="28"/>
        </w:rPr>
        <w:t>меньшение объема финансирования</w:t>
      </w:r>
      <w:r>
        <w:rPr>
          <w:sz w:val="28"/>
          <w:szCs w:val="28"/>
        </w:rPr>
        <w:t xml:space="preserve"> повлияло то, </w:t>
      </w:r>
      <w:r w:rsidRPr="00F42089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 2018 год были предусмотрены средства на строительство объектов инженерной инфраструктуры и реконструкцию котельных, осуществляемую в рамках мероприятий по энергосбережению, а в бюджете на 2019</w:t>
      </w:r>
      <w:r w:rsidRPr="00926F2B">
        <w:rPr>
          <w:sz w:val="28"/>
          <w:szCs w:val="28"/>
        </w:rPr>
        <w:t xml:space="preserve"> год </w:t>
      </w:r>
      <w:r>
        <w:rPr>
          <w:sz w:val="28"/>
          <w:szCs w:val="28"/>
        </w:rPr>
        <w:t>аналогичные</w:t>
      </w:r>
      <w:r w:rsidRPr="00926F2B">
        <w:rPr>
          <w:sz w:val="28"/>
          <w:szCs w:val="28"/>
        </w:rPr>
        <w:t xml:space="preserve"> расходы не предусмотрены</w:t>
      </w:r>
      <w:r>
        <w:rPr>
          <w:sz w:val="28"/>
          <w:szCs w:val="28"/>
        </w:rPr>
        <w:t xml:space="preserve">.  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подразделу 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Благоустройство»</w:t>
      </w:r>
      <w:r w:rsidRPr="00926F2B">
        <w:rPr>
          <w:sz w:val="28"/>
          <w:szCs w:val="28"/>
        </w:rPr>
        <w:t xml:space="preserve"> планируются  расходы в сумме </w:t>
      </w:r>
      <w:r>
        <w:rPr>
          <w:sz w:val="28"/>
          <w:szCs w:val="28"/>
        </w:rPr>
        <w:t xml:space="preserve">661,5 </w:t>
      </w:r>
      <w:r w:rsidRPr="00926F2B">
        <w:rPr>
          <w:sz w:val="28"/>
          <w:szCs w:val="28"/>
        </w:rPr>
        <w:t xml:space="preserve">млн. руб., </w:t>
      </w:r>
      <w:r>
        <w:rPr>
          <w:sz w:val="28"/>
          <w:szCs w:val="28"/>
        </w:rPr>
        <w:t>что</w:t>
      </w:r>
      <w:r w:rsidRPr="00926F2B">
        <w:rPr>
          <w:sz w:val="28"/>
          <w:szCs w:val="28"/>
        </w:rPr>
        <w:t xml:space="preserve"> меньше уточненных плановых назначений текущего года на </w:t>
      </w:r>
      <w:r>
        <w:rPr>
          <w:sz w:val="28"/>
          <w:szCs w:val="28"/>
        </w:rPr>
        <w:t>26,9</w:t>
      </w:r>
      <w:r w:rsidRPr="00926F2B">
        <w:rPr>
          <w:sz w:val="28"/>
          <w:szCs w:val="28"/>
        </w:rPr>
        <w:t xml:space="preserve">%  или на  </w:t>
      </w:r>
      <w:r>
        <w:rPr>
          <w:sz w:val="28"/>
          <w:szCs w:val="28"/>
        </w:rPr>
        <w:t>244,0</w:t>
      </w:r>
      <w:r w:rsidRPr="00926F2B">
        <w:rPr>
          <w:sz w:val="28"/>
          <w:szCs w:val="28"/>
        </w:rPr>
        <w:t xml:space="preserve">  млн. рублей</w:t>
      </w:r>
      <w:r>
        <w:rPr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текущим годом сокращены расходы на организацию освещений улиц </w:t>
      </w:r>
      <w:r w:rsidRPr="00926F2B">
        <w:rPr>
          <w:sz w:val="28"/>
          <w:szCs w:val="28"/>
        </w:rPr>
        <w:t xml:space="preserve">на </w:t>
      </w:r>
      <w:r w:rsidR="005A07A4">
        <w:rPr>
          <w:sz w:val="28"/>
          <w:szCs w:val="28"/>
        </w:rPr>
        <w:t>28,7</w:t>
      </w:r>
      <w:r w:rsidRPr="00926F2B">
        <w:rPr>
          <w:sz w:val="28"/>
          <w:szCs w:val="28"/>
        </w:rPr>
        <w:t xml:space="preserve">  млн. руб.,  на содержание и ремонт зеленых насаждений  на </w:t>
      </w:r>
      <w:r w:rsidR="005A07A4">
        <w:rPr>
          <w:sz w:val="28"/>
          <w:szCs w:val="28"/>
        </w:rPr>
        <w:t>30,0</w:t>
      </w:r>
      <w:r w:rsidR="00B0215E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млн. руб</w:t>
      </w:r>
      <w:r w:rsidR="00276954">
        <w:rPr>
          <w:sz w:val="28"/>
          <w:szCs w:val="28"/>
        </w:rPr>
        <w:t>лей</w:t>
      </w:r>
      <w:r w:rsidRPr="00926F2B">
        <w:rPr>
          <w:sz w:val="28"/>
          <w:szCs w:val="28"/>
        </w:rPr>
        <w:t>.</w:t>
      </w:r>
    </w:p>
    <w:p w:rsidR="00276954" w:rsidRDefault="00276954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  «Формирование современной городской среды города Липецка» предусмотрены средства в объеме 316,5 млн. руб., которые будут направлены на благоустройство общественных пространств и дворовых территорий.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Расходы на содержание кладбищ составят </w:t>
      </w:r>
      <w:r>
        <w:rPr>
          <w:sz w:val="28"/>
          <w:szCs w:val="28"/>
        </w:rPr>
        <w:t>53,8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 xml:space="preserve">., что </w:t>
      </w:r>
      <w:r w:rsidRPr="00926F2B">
        <w:rPr>
          <w:sz w:val="28"/>
          <w:szCs w:val="28"/>
        </w:rPr>
        <w:t xml:space="preserve"> на </w:t>
      </w:r>
      <w:r>
        <w:rPr>
          <w:sz w:val="28"/>
          <w:szCs w:val="28"/>
        </w:rPr>
        <w:t>37,6% (или 14,7</w:t>
      </w:r>
      <w:r w:rsidRPr="00926F2B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)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превышает </w:t>
      </w:r>
      <w:r w:rsidRPr="00926F2B">
        <w:rPr>
          <w:sz w:val="28"/>
          <w:szCs w:val="28"/>
        </w:rPr>
        <w:t>уточненны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</w:t>
      </w:r>
      <w:r w:rsidRPr="00926F2B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 и  обусловлено увеличением ассигнований на финансовое обеспечение  выполнения муниципального задания МБУ «Ритуальные услуги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ипецка</w:t>
      </w:r>
      <w:proofErr w:type="spellEnd"/>
      <w:r>
        <w:rPr>
          <w:sz w:val="28"/>
          <w:szCs w:val="28"/>
        </w:rPr>
        <w:t xml:space="preserve">» в части уплаты земельного </w:t>
      </w:r>
      <w:r w:rsidR="007051F4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в связи с регистрацией права постоянного пользования на земельные участки, выделенные под кладбища. По итогам контрольного мероприятия Счетная палата рекомендует администрации города рассмотреть вопрос о восстановлении льготы по земельному налогу для земельных участков, занятых захоронениями.  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На содержание и ремонт прочих объектов благоустройства предусмотрено 37,</w:t>
      </w:r>
      <w:r>
        <w:rPr>
          <w:sz w:val="28"/>
          <w:szCs w:val="28"/>
        </w:rPr>
        <w:t xml:space="preserve">8 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 xml:space="preserve">практически соответствует </w:t>
      </w:r>
      <w:r w:rsidRPr="00926F2B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ю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</w:t>
      </w:r>
      <w:r w:rsidR="0027129B">
        <w:rPr>
          <w:sz w:val="28"/>
          <w:szCs w:val="28"/>
        </w:rPr>
        <w:t>а</w:t>
      </w:r>
      <w:r w:rsidRPr="00926F2B">
        <w:rPr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5D2E6C">
        <w:rPr>
          <w:b/>
          <w:i/>
          <w:sz w:val="28"/>
          <w:szCs w:val="28"/>
        </w:rPr>
        <w:t>«Другие вопросы в области жилищно-коммунального хозяйства»</w:t>
      </w:r>
      <w:r>
        <w:rPr>
          <w:sz w:val="28"/>
          <w:szCs w:val="28"/>
        </w:rPr>
        <w:t xml:space="preserve"> предусмотрены средства в объеме 99,1 млн. руб. на обеспечение деятельности аппарата управления департамента жилищно-коммунального хозяйства и двух казенных учреждений</w:t>
      </w:r>
      <w:r w:rsidR="007051F4">
        <w:rPr>
          <w:sz w:val="28"/>
          <w:szCs w:val="28"/>
        </w:rPr>
        <w:t>:</w:t>
      </w:r>
      <w:r>
        <w:rPr>
          <w:sz w:val="28"/>
          <w:szCs w:val="28"/>
        </w:rPr>
        <w:t xml:space="preserve"> МКУ «Управление капитального ремонта» и МКУ «Управление главного смотрителя».</w:t>
      </w:r>
    </w:p>
    <w:p w:rsidR="00456D70" w:rsidRPr="00926F2B" w:rsidRDefault="00456D70" w:rsidP="00456D70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Бюджетные ассигнования, предусмотренные  во внепрограммном формате   на 201</w:t>
      </w:r>
      <w:r>
        <w:rPr>
          <w:sz w:val="28"/>
          <w:szCs w:val="28"/>
        </w:rPr>
        <w:t>9 год в сумме  36,0</w:t>
      </w:r>
      <w:r w:rsidRPr="00926F2B">
        <w:rPr>
          <w:sz w:val="28"/>
          <w:szCs w:val="28"/>
        </w:rPr>
        <w:t xml:space="preserve"> млн. руб. планируются направить на</w:t>
      </w:r>
      <w:r>
        <w:rPr>
          <w:sz w:val="28"/>
          <w:szCs w:val="28"/>
        </w:rPr>
        <w:t xml:space="preserve"> выполнение наказов избирателей</w:t>
      </w:r>
      <w:r w:rsidRPr="00926F2B">
        <w:rPr>
          <w:sz w:val="28"/>
          <w:szCs w:val="28"/>
        </w:rPr>
        <w:t>, которые отражены по подразделу «Жилищное хозяйство».</w:t>
      </w:r>
    </w:p>
    <w:p w:rsidR="00456D70" w:rsidRDefault="00456D70" w:rsidP="00C020E9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>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 с </w:t>
      </w:r>
      <w:r>
        <w:rPr>
          <w:sz w:val="28"/>
          <w:szCs w:val="28"/>
        </w:rPr>
        <w:t xml:space="preserve">уменьшением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чем </w:t>
      </w:r>
      <w:r w:rsidRPr="00926F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3 </w:t>
      </w:r>
      <w:r w:rsidRPr="00926F2B">
        <w:rPr>
          <w:sz w:val="28"/>
          <w:szCs w:val="28"/>
        </w:rPr>
        <w:t xml:space="preserve"> раза по сравнению с </w:t>
      </w:r>
      <w:r>
        <w:rPr>
          <w:sz w:val="28"/>
          <w:szCs w:val="28"/>
        </w:rPr>
        <w:t xml:space="preserve">уточненным бюджетом на </w:t>
      </w:r>
      <w:r w:rsidRPr="00926F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 планируются расходы по разделу  </w:t>
      </w:r>
      <w:r w:rsidRPr="00926F2B">
        <w:rPr>
          <w:b/>
          <w:bCs/>
          <w:sz w:val="28"/>
          <w:szCs w:val="28"/>
        </w:rPr>
        <w:lastRenderedPageBreak/>
        <w:t>«Охрана окружающей среды»</w:t>
      </w:r>
      <w:r w:rsidRPr="00926F2B">
        <w:rPr>
          <w:bCs/>
          <w:sz w:val="28"/>
          <w:szCs w:val="28"/>
        </w:rPr>
        <w:t>, которые составят</w:t>
      </w:r>
      <w:r w:rsidRPr="00926F2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8,5</w:t>
      </w:r>
      <w:r w:rsidRPr="00926F2B">
        <w:rPr>
          <w:sz w:val="28"/>
          <w:szCs w:val="28"/>
        </w:rPr>
        <w:t xml:space="preserve"> млн. руб. и полностью сформированы в программном формате.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обусловлено отсутствием в проекте бюджета средств на рекультивацию полигона «Венера».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году, </w:t>
      </w:r>
      <w:r w:rsidRPr="00C62D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основном, </w:t>
      </w:r>
      <w:r w:rsidRPr="00C62DA4">
        <w:rPr>
          <w:sz w:val="28"/>
          <w:szCs w:val="28"/>
        </w:rPr>
        <w:t>средства выделены на реабилитацию и благоустройство водных объектов в сумме 1,0 млн. руб. и на реализацию мероприятий по обращению с отходами в сумме 6,9  млн. руб</w:t>
      </w:r>
      <w:r>
        <w:rPr>
          <w:sz w:val="28"/>
          <w:szCs w:val="28"/>
        </w:rPr>
        <w:t>лей.</w:t>
      </w:r>
    </w:p>
    <w:p w:rsidR="00192428" w:rsidRPr="00C62DA4" w:rsidRDefault="00192428" w:rsidP="00456D70">
      <w:pPr>
        <w:ind w:firstLine="708"/>
        <w:jc w:val="both"/>
        <w:rPr>
          <w:sz w:val="28"/>
          <w:szCs w:val="28"/>
        </w:rPr>
      </w:pP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Объем бюджетных ассигнований по разделу  </w:t>
      </w:r>
      <w:r w:rsidRPr="00926F2B">
        <w:rPr>
          <w:b/>
          <w:bCs/>
          <w:sz w:val="28"/>
          <w:szCs w:val="28"/>
        </w:rPr>
        <w:t xml:space="preserve">«Образование» </w:t>
      </w:r>
      <w:r w:rsidRPr="00926F2B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6237,8</w:t>
      </w:r>
      <w:r w:rsidRPr="00926F2B">
        <w:rPr>
          <w:sz w:val="28"/>
          <w:szCs w:val="28"/>
        </w:rPr>
        <w:t xml:space="preserve"> млн. руб., в том числе по подразделам: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</w:t>
      </w:r>
      <w:r w:rsidRPr="00926F2B">
        <w:rPr>
          <w:i/>
          <w:sz w:val="28"/>
          <w:szCs w:val="28"/>
        </w:rPr>
        <w:t>«Дошкольное образование»</w:t>
      </w:r>
      <w:r w:rsidRPr="00926F2B">
        <w:rPr>
          <w:b/>
          <w:i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>2554,5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</w:t>
      </w:r>
      <w:r w:rsidRPr="00926F2B">
        <w:rPr>
          <w:i/>
          <w:sz w:val="28"/>
          <w:szCs w:val="28"/>
        </w:rPr>
        <w:t>«Общее образование»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2768,6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</w:t>
      </w:r>
      <w:r w:rsidRPr="00926F2B">
        <w:rPr>
          <w:i/>
          <w:sz w:val="28"/>
          <w:szCs w:val="28"/>
        </w:rPr>
        <w:t xml:space="preserve">«Дополнительное образование детей» </w:t>
      </w:r>
      <w:r w:rsidRPr="00926F2B">
        <w:rPr>
          <w:sz w:val="28"/>
          <w:szCs w:val="28"/>
        </w:rPr>
        <w:t xml:space="preserve">- </w:t>
      </w:r>
      <w:r>
        <w:rPr>
          <w:sz w:val="28"/>
          <w:szCs w:val="28"/>
        </w:rPr>
        <w:t>778,9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</w:t>
      </w:r>
      <w:r w:rsidRPr="00926F2B">
        <w:rPr>
          <w:i/>
          <w:sz w:val="28"/>
          <w:szCs w:val="28"/>
        </w:rPr>
        <w:t>«Молодежная политика и оздоровление детей»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35,6</w:t>
      </w:r>
      <w:r w:rsidRPr="00926F2B">
        <w:rPr>
          <w:sz w:val="28"/>
          <w:szCs w:val="28"/>
        </w:rPr>
        <w:t xml:space="preserve"> млн. руб.;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</w:t>
      </w:r>
      <w:r w:rsidRPr="00926F2B">
        <w:rPr>
          <w:i/>
          <w:sz w:val="28"/>
          <w:szCs w:val="28"/>
        </w:rPr>
        <w:t>«Другие вопросы в области образования»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100,1</w:t>
      </w:r>
      <w:r w:rsidRPr="00926F2B">
        <w:rPr>
          <w:sz w:val="28"/>
          <w:szCs w:val="28"/>
        </w:rPr>
        <w:t xml:space="preserve"> млн. рублей.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Все расходы отрасли «Образование» 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 охвачены программным форматом и финансируются в рамках </w:t>
      </w:r>
      <w:r>
        <w:rPr>
          <w:sz w:val="28"/>
          <w:szCs w:val="28"/>
        </w:rPr>
        <w:t>3</w:t>
      </w:r>
      <w:r w:rsidRPr="00926F2B">
        <w:rPr>
          <w:sz w:val="28"/>
          <w:szCs w:val="28"/>
        </w:rPr>
        <w:t xml:space="preserve"> муниципальных программ: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- «Развитие образо</w:t>
      </w:r>
      <w:r>
        <w:rPr>
          <w:sz w:val="28"/>
          <w:szCs w:val="28"/>
        </w:rPr>
        <w:t>вания города Липецка</w:t>
      </w:r>
      <w:r w:rsidRPr="00926F2B">
        <w:rPr>
          <w:sz w:val="28"/>
          <w:szCs w:val="28"/>
        </w:rPr>
        <w:t xml:space="preserve">»  - </w:t>
      </w:r>
      <w:r>
        <w:rPr>
          <w:sz w:val="28"/>
          <w:szCs w:val="28"/>
        </w:rPr>
        <w:t>6226,5</w:t>
      </w:r>
      <w:r w:rsidRPr="00926F2B">
        <w:rPr>
          <w:sz w:val="28"/>
          <w:szCs w:val="28"/>
        </w:rPr>
        <w:t xml:space="preserve"> млн. руб. (9</w:t>
      </w:r>
      <w:r>
        <w:rPr>
          <w:sz w:val="28"/>
          <w:szCs w:val="28"/>
        </w:rPr>
        <w:t>9,8</w:t>
      </w:r>
      <w:r w:rsidRPr="00926F2B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средств раздела</w:t>
      </w:r>
      <w:r w:rsidRPr="00926F2B">
        <w:rPr>
          <w:sz w:val="28"/>
          <w:szCs w:val="28"/>
        </w:rPr>
        <w:t>);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жилищно-коммунального хозяйства» - </w:t>
      </w:r>
      <w:r>
        <w:rPr>
          <w:sz w:val="28"/>
          <w:szCs w:val="28"/>
        </w:rPr>
        <w:t>8,7</w:t>
      </w:r>
      <w:r w:rsidRPr="00926F2B">
        <w:rPr>
          <w:sz w:val="28"/>
          <w:szCs w:val="28"/>
        </w:rPr>
        <w:t xml:space="preserve"> млн. руб.  на уплату взносов по капремонту МКД</w:t>
      </w:r>
      <w:r>
        <w:rPr>
          <w:sz w:val="28"/>
          <w:szCs w:val="28"/>
        </w:rPr>
        <w:t xml:space="preserve">  и на реализацию мероприятий в области энергоснабжения и энергоэффективности</w:t>
      </w:r>
      <w:r w:rsidRPr="00926F2B">
        <w:rPr>
          <w:sz w:val="28"/>
          <w:szCs w:val="28"/>
        </w:rPr>
        <w:t>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«Липецк – мы вместе!» - </w:t>
      </w:r>
      <w:r>
        <w:rPr>
          <w:sz w:val="28"/>
          <w:szCs w:val="28"/>
        </w:rPr>
        <w:t xml:space="preserve">2,6 млн. руб. </w:t>
      </w:r>
      <w:r w:rsidRPr="00926F2B">
        <w:rPr>
          <w:sz w:val="28"/>
          <w:szCs w:val="28"/>
        </w:rPr>
        <w:t xml:space="preserve"> на организацию работы с молодежью</w:t>
      </w:r>
      <w:r>
        <w:rPr>
          <w:sz w:val="28"/>
          <w:szCs w:val="28"/>
        </w:rPr>
        <w:t>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Доля расходов данной отрасли в общем объеме расходов бюджета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55,8 процентов</w:t>
      </w:r>
      <w:r w:rsidRPr="00926F2B">
        <w:rPr>
          <w:sz w:val="28"/>
          <w:szCs w:val="28"/>
        </w:rPr>
        <w:t>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При определении объемов бюджетных ассигнований учитывалась в первую очередь необходимость финансирования всех защищенных статей, с соблюдением законодательно установленного разграничения полномочий.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proofErr w:type="gramStart"/>
      <w:r w:rsidRPr="00926F2B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бюджетов вышестоящих уровней в данной отрасли занимают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67,9</w:t>
      </w:r>
      <w:r w:rsidRPr="00926F2B">
        <w:rPr>
          <w:sz w:val="28"/>
          <w:szCs w:val="28"/>
        </w:rPr>
        <w:t xml:space="preserve"> %  или </w:t>
      </w:r>
      <w:r>
        <w:rPr>
          <w:sz w:val="28"/>
          <w:szCs w:val="28"/>
        </w:rPr>
        <w:t xml:space="preserve"> 4237,2</w:t>
      </w:r>
      <w:r w:rsidRPr="00926F2B">
        <w:rPr>
          <w:sz w:val="28"/>
          <w:szCs w:val="28"/>
        </w:rPr>
        <w:t xml:space="preserve"> млн. руб., </w:t>
      </w:r>
      <w:r>
        <w:rPr>
          <w:sz w:val="28"/>
          <w:szCs w:val="28"/>
        </w:rPr>
        <w:t xml:space="preserve"> из которых </w:t>
      </w:r>
      <w:r w:rsidR="00370922">
        <w:rPr>
          <w:sz w:val="28"/>
          <w:szCs w:val="28"/>
        </w:rPr>
        <w:t xml:space="preserve"> </w:t>
      </w:r>
      <w:r>
        <w:rPr>
          <w:sz w:val="28"/>
          <w:szCs w:val="28"/>
        </w:rPr>
        <w:t>3747,8  млн. руб.</w:t>
      </w:r>
      <w:r w:rsidRPr="00926F2B">
        <w:rPr>
          <w:sz w:val="28"/>
          <w:szCs w:val="28"/>
        </w:rPr>
        <w:t xml:space="preserve"> направляются  на финансовое обеспечение государственных гарантий реализации прав на получение общедоступного и бесплатного дошкольного, общего  образования в муниципальных образовательных организациях, включая расходы на оплату труда, приобретение учебников и учебных пособий, средств обучения, игр, игрушек, а также прочие расходы.</w:t>
      </w:r>
      <w:proofErr w:type="gramEnd"/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proofErr w:type="gramStart"/>
      <w:r w:rsidRPr="00926F2B">
        <w:rPr>
          <w:sz w:val="28"/>
          <w:szCs w:val="28"/>
        </w:rPr>
        <w:t xml:space="preserve">В виде бюджетных инвестиций в объекты сферы образования запланированы средства в сумме </w:t>
      </w:r>
      <w:r w:rsidR="00370922">
        <w:rPr>
          <w:sz w:val="28"/>
          <w:szCs w:val="28"/>
        </w:rPr>
        <w:t>538,4</w:t>
      </w:r>
      <w:r w:rsidRPr="00926F2B">
        <w:rPr>
          <w:sz w:val="28"/>
          <w:szCs w:val="28"/>
        </w:rPr>
        <w:t xml:space="preserve"> млн. руб., в том числе на строительство «Школы жилой многоэтажной застройки по ул. 50 лет НЛМК»  </w:t>
      </w:r>
      <w:r w:rsidR="007051F4">
        <w:rPr>
          <w:sz w:val="28"/>
          <w:szCs w:val="28"/>
        </w:rPr>
        <w:t xml:space="preserve">в </w:t>
      </w:r>
      <w:r w:rsidRPr="00926F2B">
        <w:rPr>
          <w:sz w:val="28"/>
          <w:szCs w:val="28"/>
        </w:rPr>
        <w:t xml:space="preserve"> сумм</w:t>
      </w:r>
      <w:r w:rsidR="007051F4"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164,8</w:t>
      </w:r>
      <w:r w:rsidRPr="00926F2B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, строительство пристроек под ясельные группы для семи ДОУ </w:t>
      </w:r>
      <w:r w:rsidR="007051F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304,4 млн. руб., реконструкцию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МБОУ ДОД ДЮСШ №1</w:t>
      </w:r>
      <w:r w:rsidR="007051F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сумм</w:t>
      </w:r>
      <w:r w:rsidR="007051F4">
        <w:rPr>
          <w:sz w:val="28"/>
          <w:szCs w:val="28"/>
        </w:rPr>
        <w:t>е</w:t>
      </w:r>
      <w:r>
        <w:rPr>
          <w:sz w:val="28"/>
          <w:szCs w:val="28"/>
        </w:rPr>
        <w:t xml:space="preserve"> 66,2 млн. рублей. </w:t>
      </w:r>
      <w:proofErr w:type="gramEnd"/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926F2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 запланированы расходы в</w:t>
      </w:r>
      <w:r w:rsidRPr="00926F2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2000,5</w:t>
      </w:r>
      <w:r w:rsidRPr="00926F2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руб.</w:t>
      </w:r>
      <w:r>
        <w:rPr>
          <w:sz w:val="28"/>
          <w:szCs w:val="28"/>
        </w:rPr>
        <w:t>, из которых н</w:t>
      </w:r>
      <w:r w:rsidRPr="00926F2B">
        <w:rPr>
          <w:sz w:val="28"/>
          <w:szCs w:val="28"/>
        </w:rPr>
        <w:t>а дополнительное образование</w:t>
      </w:r>
      <w:r>
        <w:rPr>
          <w:sz w:val="28"/>
          <w:szCs w:val="28"/>
        </w:rPr>
        <w:t xml:space="preserve"> детей </w:t>
      </w:r>
      <w:r w:rsidRPr="00926F2B">
        <w:rPr>
          <w:sz w:val="28"/>
          <w:szCs w:val="28"/>
        </w:rPr>
        <w:t xml:space="preserve">  предусмотрено </w:t>
      </w:r>
      <w:r>
        <w:rPr>
          <w:sz w:val="28"/>
          <w:szCs w:val="28"/>
        </w:rPr>
        <w:t>778,9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 xml:space="preserve">лей. </w:t>
      </w:r>
      <w:r w:rsidR="0076228F">
        <w:rPr>
          <w:sz w:val="28"/>
          <w:szCs w:val="28"/>
        </w:rPr>
        <w:t>Средства  города</w:t>
      </w:r>
      <w:r>
        <w:rPr>
          <w:sz w:val="28"/>
          <w:szCs w:val="28"/>
        </w:rPr>
        <w:t xml:space="preserve"> будут направлены </w:t>
      </w:r>
      <w:r w:rsidR="0052703F">
        <w:rPr>
          <w:sz w:val="28"/>
          <w:szCs w:val="28"/>
        </w:rPr>
        <w:t>на</w:t>
      </w:r>
      <w:r w:rsidRPr="00926F2B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ние </w:t>
      </w:r>
      <w:r w:rsidRPr="00926F2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926F2B">
        <w:rPr>
          <w:sz w:val="28"/>
          <w:szCs w:val="28"/>
        </w:rPr>
        <w:t xml:space="preserve"> для </w:t>
      </w:r>
      <w:r w:rsidRPr="00926F2B">
        <w:rPr>
          <w:sz w:val="28"/>
          <w:szCs w:val="28"/>
        </w:rPr>
        <w:lastRenderedPageBreak/>
        <w:t>осуществления присмотра и ухода за детьми, обеспеч</w:t>
      </w:r>
      <w:r w:rsidR="0052703F">
        <w:rPr>
          <w:sz w:val="28"/>
          <w:szCs w:val="28"/>
        </w:rPr>
        <w:t>ение</w:t>
      </w:r>
      <w:r w:rsidRPr="00926F2B">
        <w:rPr>
          <w:sz w:val="28"/>
          <w:szCs w:val="28"/>
        </w:rPr>
        <w:t xml:space="preserve"> содержани</w:t>
      </w:r>
      <w:r w:rsidR="0052703F">
        <w:rPr>
          <w:sz w:val="28"/>
          <w:szCs w:val="28"/>
        </w:rPr>
        <w:t>я</w:t>
      </w:r>
      <w:r w:rsidRPr="00926F2B">
        <w:rPr>
          <w:sz w:val="28"/>
          <w:szCs w:val="28"/>
        </w:rPr>
        <w:t xml:space="preserve"> зданий и сооружений муниципальных образовательных организаций. 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к проекту бюджета на 2019 год  при планировании расходов на дошкольное образование размер родительской платы за</w:t>
      </w:r>
      <w:r w:rsidRPr="001A761F">
        <w:rPr>
          <w:color w:val="FF0000"/>
          <w:sz w:val="28"/>
          <w:szCs w:val="28"/>
        </w:rPr>
        <w:t xml:space="preserve"> </w:t>
      </w:r>
      <w:r w:rsidRPr="00DC0977">
        <w:rPr>
          <w:sz w:val="28"/>
          <w:szCs w:val="28"/>
        </w:rPr>
        <w:t xml:space="preserve">присмотр и уход за детьми в муниципальных образовательных учреждениях  </w:t>
      </w:r>
      <w:r>
        <w:rPr>
          <w:sz w:val="28"/>
          <w:szCs w:val="28"/>
        </w:rPr>
        <w:t xml:space="preserve">сохранен на </w:t>
      </w:r>
      <w:r w:rsidRPr="00DC0977">
        <w:rPr>
          <w:sz w:val="28"/>
          <w:szCs w:val="28"/>
        </w:rPr>
        <w:t xml:space="preserve"> уровне  201</w:t>
      </w:r>
      <w:r>
        <w:rPr>
          <w:sz w:val="28"/>
          <w:szCs w:val="28"/>
        </w:rPr>
        <w:t>8</w:t>
      </w:r>
      <w:r w:rsidRPr="00DC0977">
        <w:rPr>
          <w:sz w:val="28"/>
          <w:szCs w:val="28"/>
        </w:rPr>
        <w:t xml:space="preserve"> года  - 1858 рублей в месяц. </w:t>
      </w:r>
    </w:p>
    <w:p w:rsidR="00456D70" w:rsidRPr="00DC0977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 соответствии с  Постановлением Администрации Липецкой области от 06.11.2018   № 558 максимальный размер  платы  в 2019 году увеличивается до  2044 руб., что  позволит увеличить денежную норму питания детей до 111 руб. и  повысить процент выполнения натуральных норм питания детей до 90% против 85% в 2018 году.</w:t>
      </w:r>
    </w:p>
    <w:p w:rsidR="00DC4193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  предусмотрена субсидия на возмещение части затрат физическим лицам, имеющим детей дошкольного возраста, не обеспеченных местами в муниципальных образовательных учреждениях и посещающих частную образовательную организацию  в сумме </w:t>
      </w:r>
      <w:r>
        <w:rPr>
          <w:sz w:val="28"/>
          <w:szCs w:val="28"/>
        </w:rPr>
        <w:t>2,5</w:t>
      </w:r>
      <w:r w:rsidRPr="00926F2B">
        <w:rPr>
          <w:sz w:val="28"/>
          <w:szCs w:val="28"/>
        </w:rPr>
        <w:t xml:space="preserve"> млн. рублей.  Данные меры направлены на развитие негосударственного сектора в дошкольном образовании.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</w:t>
      </w:r>
    </w:p>
    <w:p w:rsidR="00192428" w:rsidRPr="00926F2B" w:rsidRDefault="00192428" w:rsidP="00456D70">
      <w:pPr>
        <w:ind w:firstLine="708"/>
        <w:jc w:val="both"/>
        <w:rPr>
          <w:sz w:val="28"/>
          <w:szCs w:val="28"/>
        </w:rPr>
      </w:pP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По разделу </w:t>
      </w:r>
      <w:r w:rsidRPr="00926F2B">
        <w:rPr>
          <w:b/>
          <w:bCs/>
          <w:sz w:val="28"/>
          <w:szCs w:val="28"/>
        </w:rPr>
        <w:t xml:space="preserve">«Культура и кинематография» </w:t>
      </w:r>
      <w:r w:rsidRPr="00926F2B">
        <w:rPr>
          <w:sz w:val="28"/>
          <w:szCs w:val="28"/>
        </w:rPr>
        <w:t xml:space="preserve">бюджетные ассигнования запланированы в сумме </w:t>
      </w:r>
      <w:r>
        <w:rPr>
          <w:sz w:val="28"/>
          <w:szCs w:val="28"/>
        </w:rPr>
        <w:t>384,9</w:t>
      </w:r>
      <w:r w:rsidRPr="00926F2B">
        <w:rPr>
          <w:sz w:val="28"/>
          <w:szCs w:val="28"/>
        </w:rPr>
        <w:t xml:space="preserve"> млн. руб., с уменьшением к уточненному плану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11,9</w:t>
      </w:r>
      <w:r w:rsidRPr="00926F2B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52,1</w:t>
      </w:r>
      <w:r w:rsidRPr="00926F2B">
        <w:rPr>
          <w:sz w:val="28"/>
          <w:szCs w:val="28"/>
        </w:rPr>
        <w:t xml:space="preserve"> млн. руб., </w:t>
      </w:r>
      <w:r w:rsidRPr="006630FB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основном связано с  выделением средств на </w:t>
      </w:r>
      <w:r w:rsidRPr="006630FB">
        <w:rPr>
          <w:sz w:val="28"/>
          <w:szCs w:val="28"/>
        </w:rPr>
        <w:t>ремонт учреждений культуры</w:t>
      </w:r>
      <w:r>
        <w:rPr>
          <w:sz w:val="28"/>
          <w:szCs w:val="28"/>
        </w:rPr>
        <w:t xml:space="preserve"> в меньшем объеме</w:t>
      </w:r>
      <w:r w:rsidRPr="006630FB">
        <w:rPr>
          <w:sz w:val="28"/>
          <w:szCs w:val="28"/>
        </w:rPr>
        <w:t xml:space="preserve">. </w:t>
      </w:r>
      <w:r>
        <w:rPr>
          <w:sz w:val="28"/>
          <w:szCs w:val="28"/>
        </w:rPr>
        <w:t>Вместе с тем</w:t>
      </w:r>
      <w:r w:rsidR="005E3BDD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увеличиваются расходы </w:t>
      </w:r>
      <w:r w:rsidRPr="00663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содержание территории общественного пространства «Липецкое Городище». </w:t>
      </w:r>
      <w:r w:rsidRPr="00926F2B">
        <w:rPr>
          <w:sz w:val="28"/>
          <w:szCs w:val="28"/>
        </w:rPr>
        <w:t>Все расходы по разделу 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 году </w:t>
      </w:r>
      <w:r>
        <w:rPr>
          <w:sz w:val="28"/>
          <w:szCs w:val="28"/>
        </w:rPr>
        <w:t>финансируются в рамках двух</w:t>
      </w:r>
      <w:r w:rsidRPr="00926F2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926F2B">
        <w:rPr>
          <w:sz w:val="28"/>
          <w:szCs w:val="28"/>
        </w:rPr>
        <w:t xml:space="preserve"> программ: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- «Развитие куль</w:t>
      </w:r>
      <w:r>
        <w:rPr>
          <w:sz w:val="28"/>
          <w:szCs w:val="28"/>
        </w:rPr>
        <w:t>туры и туризма в городе Липецке»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383,7</w:t>
      </w:r>
      <w:r w:rsidRPr="00926F2B">
        <w:rPr>
          <w:sz w:val="28"/>
          <w:szCs w:val="28"/>
        </w:rPr>
        <w:t xml:space="preserve"> млн. руб. (99,</w:t>
      </w:r>
      <w:r>
        <w:rPr>
          <w:sz w:val="28"/>
          <w:szCs w:val="28"/>
        </w:rPr>
        <w:t>7</w:t>
      </w:r>
      <w:r w:rsidRPr="00926F2B">
        <w:rPr>
          <w:sz w:val="28"/>
          <w:szCs w:val="28"/>
        </w:rPr>
        <w:t>%);</w:t>
      </w:r>
    </w:p>
    <w:p w:rsidR="00DC4193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жилищно-коммунального хозяйства города Липецка» - </w:t>
      </w:r>
      <w:r>
        <w:rPr>
          <w:sz w:val="28"/>
          <w:szCs w:val="28"/>
        </w:rPr>
        <w:t>1,2</w:t>
      </w:r>
      <w:r w:rsidRPr="00926F2B">
        <w:rPr>
          <w:sz w:val="28"/>
          <w:szCs w:val="28"/>
        </w:rPr>
        <w:t xml:space="preserve"> млн. руб. (0,</w:t>
      </w:r>
      <w:r>
        <w:rPr>
          <w:sz w:val="28"/>
          <w:szCs w:val="28"/>
        </w:rPr>
        <w:t>3</w:t>
      </w:r>
      <w:r w:rsidRPr="00926F2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92428" w:rsidRPr="00926F2B" w:rsidRDefault="00192428" w:rsidP="00456D70">
      <w:pPr>
        <w:ind w:firstLine="708"/>
        <w:jc w:val="both"/>
        <w:rPr>
          <w:sz w:val="28"/>
          <w:szCs w:val="28"/>
        </w:rPr>
      </w:pP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разделу  </w:t>
      </w:r>
      <w:r w:rsidRPr="00926F2B">
        <w:rPr>
          <w:b/>
          <w:bCs/>
          <w:sz w:val="28"/>
          <w:szCs w:val="28"/>
        </w:rPr>
        <w:t xml:space="preserve">«Социальная политика» </w:t>
      </w:r>
      <w:r w:rsidRPr="00926F2B">
        <w:rPr>
          <w:sz w:val="28"/>
          <w:szCs w:val="28"/>
        </w:rPr>
        <w:t>бюджетные ассигнования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 xml:space="preserve">267,3 </w:t>
      </w:r>
      <w:r w:rsidRPr="00926F2B">
        <w:rPr>
          <w:sz w:val="28"/>
          <w:szCs w:val="28"/>
        </w:rPr>
        <w:t xml:space="preserve"> млн. руб. или с </w:t>
      </w:r>
      <w:r>
        <w:rPr>
          <w:sz w:val="28"/>
          <w:szCs w:val="28"/>
        </w:rPr>
        <w:t xml:space="preserve">увеличением </w:t>
      </w:r>
      <w:r w:rsidRPr="00926F2B">
        <w:rPr>
          <w:sz w:val="28"/>
          <w:szCs w:val="28"/>
        </w:rPr>
        <w:t xml:space="preserve"> на </w:t>
      </w:r>
      <w:r>
        <w:rPr>
          <w:sz w:val="28"/>
          <w:szCs w:val="28"/>
        </w:rPr>
        <w:t>6,8</w:t>
      </w:r>
      <w:r w:rsidRPr="00926F2B">
        <w:rPr>
          <w:sz w:val="28"/>
          <w:szCs w:val="28"/>
        </w:rPr>
        <w:t xml:space="preserve"> % к уточненному бюджету на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год. 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Доля программных расходов в общем объеме раз</w:t>
      </w:r>
      <w:r>
        <w:rPr>
          <w:sz w:val="28"/>
          <w:szCs w:val="28"/>
        </w:rPr>
        <w:t>дела в 2019</w:t>
      </w:r>
      <w:r w:rsidRPr="00926F2B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90,0 %, в том числе</w:t>
      </w:r>
      <w:r w:rsidRPr="00926F2B">
        <w:rPr>
          <w:sz w:val="28"/>
          <w:szCs w:val="28"/>
        </w:rPr>
        <w:t>: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образования города Липецка» - </w:t>
      </w:r>
      <w:r>
        <w:rPr>
          <w:sz w:val="28"/>
          <w:szCs w:val="28"/>
        </w:rPr>
        <w:t>164,1</w:t>
      </w:r>
      <w:r w:rsidRPr="00926F2B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61,4</w:t>
      </w:r>
      <w:r w:rsidRPr="00926F2B">
        <w:rPr>
          <w:sz w:val="28"/>
          <w:szCs w:val="28"/>
        </w:rPr>
        <w:t>%;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жилищно-коммунального хозяйства города Липецка» - </w:t>
      </w:r>
      <w:r>
        <w:rPr>
          <w:sz w:val="28"/>
          <w:szCs w:val="28"/>
        </w:rPr>
        <w:t>28,6</w:t>
      </w:r>
      <w:r w:rsidRPr="00926F2B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10,7</w:t>
      </w:r>
      <w:r w:rsidRPr="00926F2B">
        <w:rPr>
          <w:sz w:val="28"/>
          <w:szCs w:val="28"/>
        </w:rPr>
        <w:t>%;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- «Развитие муници</w:t>
      </w:r>
      <w:r>
        <w:rPr>
          <w:sz w:val="28"/>
          <w:szCs w:val="28"/>
        </w:rPr>
        <w:t>пальной службы в городе Липецке» - 47,9 млн. руб. или 17,9</w:t>
      </w:r>
      <w:r w:rsidRPr="00926F2B">
        <w:rPr>
          <w:sz w:val="28"/>
          <w:szCs w:val="28"/>
        </w:rPr>
        <w:t xml:space="preserve"> %. </w:t>
      </w:r>
    </w:p>
    <w:p w:rsidR="00456D70" w:rsidRPr="008307A7" w:rsidRDefault="00456D70" w:rsidP="00456D70">
      <w:pPr>
        <w:ind w:firstLine="708"/>
        <w:jc w:val="both"/>
        <w:rPr>
          <w:color w:val="FF0000"/>
          <w:sz w:val="28"/>
          <w:szCs w:val="28"/>
        </w:rPr>
      </w:pPr>
      <w:r w:rsidRPr="001009D6">
        <w:rPr>
          <w:sz w:val="28"/>
          <w:szCs w:val="28"/>
        </w:rPr>
        <w:t xml:space="preserve">В программе «Развитие жилищно-коммунального хозяйства города Липецка» планируются </w:t>
      </w:r>
      <w:r>
        <w:rPr>
          <w:sz w:val="28"/>
          <w:szCs w:val="28"/>
        </w:rPr>
        <w:t>расходы</w:t>
      </w:r>
      <w:r w:rsidRPr="001009D6">
        <w:rPr>
          <w:sz w:val="28"/>
          <w:szCs w:val="28"/>
        </w:rPr>
        <w:t xml:space="preserve"> на обеспечение жильем и проведение капитального ремонта жилых помещений  отдельных категорий граждан,  на поддержку граждан-участников подпрограммы «Ипотечное жилищное кредитование»</w:t>
      </w:r>
      <w:r w:rsidRPr="00985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счет средств  </w:t>
      </w:r>
      <w:r w:rsidRPr="001009D6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1009D6">
        <w:rPr>
          <w:sz w:val="28"/>
          <w:szCs w:val="28"/>
        </w:rPr>
        <w:t xml:space="preserve">. Расходы на перечисленные цели по сравнению с 2018 годом в целом увеличились в 1,9 раза или на 13,3 млн. </w:t>
      </w:r>
      <w:r w:rsidRPr="001009D6">
        <w:rPr>
          <w:sz w:val="28"/>
          <w:szCs w:val="28"/>
        </w:rPr>
        <w:lastRenderedPageBreak/>
        <w:t xml:space="preserve">рублей. </w:t>
      </w:r>
      <w:r w:rsidRPr="008C30F3">
        <w:rPr>
          <w:sz w:val="28"/>
          <w:szCs w:val="28"/>
        </w:rPr>
        <w:t>Очередь по всем упомянутым категориям граждан, нуждающихся в улучшении жилищных условий</w:t>
      </w:r>
      <w:r>
        <w:rPr>
          <w:sz w:val="28"/>
          <w:szCs w:val="28"/>
        </w:rPr>
        <w:t xml:space="preserve"> </w:t>
      </w:r>
      <w:r w:rsidRPr="008307A7">
        <w:rPr>
          <w:color w:val="FF0000"/>
          <w:sz w:val="28"/>
          <w:szCs w:val="28"/>
        </w:rPr>
        <w:t xml:space="preserve"> </w:t>
      </w:r>
      <w:r w:rsidRPr="00235D57">
        <w:rPr>
          <w:sz w:val="28"/>
          <w:szCs w:val="28"/>
        </w:rPr>
        <w:t>на текущую дату</w:t>
      </w:r>
      <w:r>
        <w:rPr>
          <w:sz w:val="28"/>
          <w:szCs w:val="28"/>
        </w:rPr>
        <w:t>,</w:t>
      </w:r>
      <w:r w:rsidRPr="00235D57">
        <w:rPr>
          <w:sz w:val="28"/>
          <w:szCs w:val="28"/>
        </w:rPr>
        <w:t xml:space="preserve"> </w:t>
      </w:r>
      <w:r w:rsidRPr="008C30F3">
        <w:rPr>
          <w:sz w:val="28"/>
          <w:szCs w:val="28"/>
        </w:rPr>
        <w:t>составляет порядка 480 очередников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3F5A80">
        <w:rPr>
          <w:sz w:val="28"/>
          <w:szCs w:val="28"/>
        </w:rPr>
        <w:t xml:space="preserve">Предусмотренные </w:t>
      </w:r>
      <w:r w:rsidRPr="00C179E0">
        <w:rPr>
          <w:sz w:val="28"/>
          <w:szCs w:val="28"/>
        </w:rPr>
        <w:t xml:space="preserve"> средства позволят </w:t>
      </w:r>
      <w:r>
        <w:rPr>
          <w:sz w:val="28"/>
          <w:szCs w:val="28"/>
        </w:rPr>
        <w:t xml:space="preserve">выделить субсидии </w:t>
      </w:r>
      <w:r w:rsidRPr="00C179E0">
        <w:rPr>
          <w:sz w:val="28"/>
          <w:szCs w:val="28"/>
        </w:rPr>
        <w:t>примерно 50 очередник</w:t>
      </w:r>
      <w:r>
        <w:rPr>
          <w:sz w:val="28"/>
          <w:szCs w:val="28"/>
        </w:rPr>
        <w:t>ам</w:t>
      </w:r>
      <w:r w:rsidRPr="00C179E0">
        <w:rPr>
          <w:sz w:val="28"/>
          <w:szCs w:val="28"/>
        </w:rPr>
        <w:t>.</w:t>
      </w:r>
    </w:p>
    <w:p w:rsidR="00456D70" w:rsidRDefault="00456D70" w:rsidP="00456D70">
      <w:pPr>
        <w:ind w:firstLine="708"/>
        <w:jc w:val="both"/>
        <w:rPr>
          <w:sz w:val="28"/>
          <w:szCs w:val="28"/>
        </w:rPr>
      </w:pPr>
      <w:proofErr w:type="gramStart"/>
      <w:r w:rsidRPr="002C1EFF">
        <w:rPr>
          <w:sz w:val="28"/>
          <w:szCs w:val="28"/>
        </w:rPr>
        <w:t>В программе «Развитие образования города Липецка» планируются субвенции на компенсационные выплаты за содержание ребенка в образовательной организации (57,3 млн. руб.), содержание ребенка в семье опекуна и приемной семьи, а также вознаграждение, причитающееся приемному родителю (99,0 млн. руб.), ежемесячную денежную выплату в связи с усыновлением ребенка-сироты или ребенка, оставшегося без попечения родителей (6,7 млн. руб.), единовременные выплаты детям-сиротам и детям, оставшимся</w:t>
      </w:r>
      <w:proofErr w:type="gramEnd"/>
      <w:r w:rsidRPr="002C1EFF">
        <w:rPr>
          <w:sz w:val="28"/>
          <w:szCs w:val="28"/>
        </w:rPr>
        <w:t xml:space="preserve"> без попечения родителей на ремонт закрепленного жилого помещения (1,0 млн. рублей.)</w:t>
      </w:r>
      <w:r>
        <w:rPr>
          <w:sz w:val="28"/>
          <w:szCs w:val="28"/>
        </w:rPr>
        <w:t>.</w:t>
      </w:r>
    </w:p>
    <w:p w:rsidR="00456D70" w:rsidRPr="00926F2B" w:rsidRDefault="00456D70" w:rsidP="00456D70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Доля непрограммных расходов по разделу составляет 10,</w:t>
      </w:r>
      <w:r>
        <w:rPr>
          <w:sz w:val="28"/>
          <w:szCs w:val="28"/>
        </w:rPr>
        <w:t>0</w:t>
      </w:r>
      <w:r w:rsidRPr="00926F2B">
        <w:rPr>
          <w:sz w:val="28"/>
          <w:szCs w:val="28"/>
        </w:rPr>
        <w:t xml:space="preserve"> % (2</w:t>
      </w:r>
      <w:r>
        <w:rPr>
          <w:sz w:val="28"/>
          <w:szCs w:val="28"/>
        </w:rPr>
        <w:t>6,8</w:t>
      </w:r>
      <w:r w:rsidRPr="00926F2B">
        <w:rPr>
          <w:sz w:val="28"/>
          <w:szCs w:val="28"/>
        </w:rPr>
        <w:t xml:space="preserve"> млн. руб.),</w:t>
      </w:r>
      <w:r>
        <w:rPr>
          <w:sz w:val="28"/>
          <w:szCs w:val="28"/>
        </w:rPr>
        <w:t xml:space="preserve"> это расходы,</w:t>
      </w:r>
      <w:r w:rsidRPr="00926F2B">
        <w:rPr>
          <w:sz w:val="28"/>
          <w:szCs w:val="28"/>
        </w:rPr>
        <w:t xml:space="preserve"> направляемые в основном на исполнение переданных полномочий в части содержания численности специалистов, осуществляющих деятельность по опеке и попечительству.</w:t>
      </w:r>
    </w:p>
    <w:p w:rsidR="00DC4193" w:rsidRDefault="00456D70" w:rsidP="00456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объема средств, предусмотренных по данному разделу, расходы, передаваемые из областного бюджета  бюджету города  в виде субвенций, составляют в 2019 году 216,4 млн. руб. (или 81,0%), из них в рамках программных расходов 192,7 млн. руб. и непрограммных – 23,7 млн. рублей.  </w:t>
      </w:r>
    </w:p>
    <w:p w:rsidR="00192428" w:rsidRDefault="00192428" w:rsidP="00456D70">
      <w:pPr>
        <w:ind w:firstLine="708"/>
        <w:jc w:val="both"/>
        <w:rPr>
          <w:sz w:val="28"/>
          <w:szCs w:val="28"/>
        </w:rPr>
      </w:pPr>
    </w:p>
    <w:p w:rsidR="00456D70" w:rsidRPr="00516F57" w:rsidRDefault="00456D70" w:rsidP="00456D70">
      <w:pPr>
        <w:ind w:firstLine="708"/>
        <w:jc w:val="both"/>
        <w:rPr>
          <w:b/>
          <w:bCs/>
          <w:sz w:val="28"/>
          <w:szCs w:val="28"/>
        </w:rPr>
      </w:pPr>
      <w:r w:rsidRPr="00926F2B">
        <w:rPr>
          <w:sz w:val="28"/>
          <w:szCs w:val="28"/>
        </w:rPr>
        <w:t xml:space="preserve">Расходы по разделу  </w:t>
      </w:r>
      <w:r w:rsidRPr="00926F2B">
        <w:rPr>
          <w:b/>
          <w:bCs/>
          <w:sz w:val="28"/>
          <w:szCs w:val="28"/>
        </w:rPr>
        <w:t xml:space="preserve">«Физическая культура и спорт» </w:t>
      </w:r>
      <w:r w:rsidRPr="00926F2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планируются в сумме 217</w:t>
      </w:r>
      <w:r>
        <w:rPr>
          <w:sz w:val="28"/>
          <w:szCs w:val="28"/>
        </w:rPr>
        <w:t>,8</w:t>
      </w:r>
      <w:r w:rsidRPr="00926F2B">
        <w:rPr>
          <w:sz w:val="28"/>
          <w:szCs w:val="28"/>
        </w:rPr>
        <w:t xml:space="preserve"> млн. руб., что меньше уточненн</w:t>
      </w:r>
      <w:r>
        <w:rPr>
          <w:sz w:val="28"/>
          <w:szCs w:val="28"/>
        </w:rPr>
        <w:t>ых плановых назначений 2018 год</w:t>
      </w:r>
      <w:r w:rsidR="00FD7AEB">
        <w:rPr>
          <w:sz w:val="28"/>
          <w:szCs w:val="28"/>
        </w:rPr>
        <w:t>а</w:t>
      </w:r>
      <w:r w:rsidRPr="00926F2B">
        <w:rPr>
          <w:sz w:val="28"/>
          <w:szCs w:val="28"/>
        </w:rPr>
        <w:t xml:space="preserve"> на 2</w:t>
      </w:r>
      <w:r>
        <w:rPr>
          <w:sz w:val="28"/>
          <w:szCs w:val="28"/>
        </w:rPr>
        <w:t>8,6</w:t>
      </w:r>
      <w:r w:rsidRPr="00926F2B">
        <w:rPr>
          <w:sz w:val="28"/>
          <w:szCs w:val="28"/>
        </w:rPr>
        <w:t xml:space="preserve"> % или на </w:t>
      </w:r>
      <w:r>
        <w:rPr>
          <w:sz w:val="28"/>
          <w:szCs w:val="28"/>
        </w:rPr>
        <w:t>87,3</w:t>
      </w:r>
      <w:r w:rsidRPr="00926F2B">
        <w:rPr>
          <w:sz w:val="28"/>
          <w:szCs w:val="28"/>
        </w:rPr>
        <w:t xml:space="preserve"> млн. рублей.  </w:t>
      </w:r>
      <w:r w:rsidRPr="00516F57">
        <w:rPr>
          <w:sz w:val="28"/>
          <w:szCs w:val="28"/>
        </w:rPr>
        <w:t xml:space="preserve">Все расходы по данному разделу охвачены </w:t>
      </w:r>
      <w:r>
        <w:rPr>
          <w:sz w:val="28"/>
          <w:szCs w:val="28"/>
        </w:rPr>
        <w:t xml:space="preserve">муниципальной </w:t>
      </w:r>
      <w:r w:rsidRPr="00516F57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516F57">
        <w:rPr>
          <w:sz w:val="28"/>
          <w:szCs w:val="28"/>
        </w:rPr>
        <w:t xml:space="preserve"> «Развитие физической культуры и спорта в городе Липецке».</w:t>
      </w:r>
    </w:p>
    <w:p w:rsidR="00DC4193" w:rsidRDefault="00456D70" w:rsidP="00456D70">
      <w:pPr>
        <w:ind w:firstLine="709"/>
        <w:jc w:val="both"/>
        <w:rPr>
          <w:sz w:val="28"/>
          <w:szCs w:val="28"/>
        </w:rPr>
      </w:pPr>
      <w:r w:rsidRPr="00A54072">
        <w:rPr>
          <w:sz w:val="28"/>
          <w:szCs w:val="28"/>
        </w:rPr>
        <w:t>Уменьшение расходов в данной отрасли объясняется в основном тем, что в 2018 году выделялись ассигнования  на реконструкцию тренировочной площадки на базе МБУ ЦС «Металлург» и капитальный ремонт чаши бассейна ФОК «Пламя».</w:t>
      </w:r>
    </w:p>
    <w:p w:rsidR="00192428" w:rsidRPr="00A54072" w:rsidRDefault="00192428" w:rsidP="00456D70">
      <w:pPr>
        <w:ind w:firstLine="709"/>
        <w:jc w:val="both"/>
        <w:rPr>
          <w:sz w:val="28"/>
          <w:szCs w:val="28"/>
        </w:rPr>
      </w:pPr>
    </w:p>
    <w:p w:rsidR="00456D70" w:rsidRDefault="00456D70" w:rsidP="00456D70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разделу </w:t>
      </w:r>
      <w:r w:rsidRPr="00926F2B">
        <w:rPr>
          <w:b/>
          <w:sz w:val="28"/>
          <w:szCs w:val="28"/>
        </w:rPr>
        <w:t xml:space="preserve">«Средства массовой информации» </w:t>
      </w:r>
      <w:r w:rsidRPr="00926F2B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</w:t>
      </w:r>
      <w:r w:rsidRPr="00926F2B">
        <w:rPr>
          <w:b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планируются бюджетные средства  в сумме </w:t>
      </w:r>
      <w:r>
        <w:rPr>
          <w:sz w:val="28"/>
          <w:szCs w:val="28"/>
        </w:rPr>
        <w:t>18,2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>меньше уточненных</w:t>
      </w:r>
      <w:r w:rsidRPr="00926F2B">
        <w:rPr>
          <w:sz w:val="28"/>
          <w:szCs w:val="28"/>
        </w:rPr>
        <w:t xml:space="preserve"> плановых назначений 201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1,6</w:t>
      </w:r>
      <w:r w:rsidRPr="00926F2B">
        <w:rPr>
          <w:sz w:val="28"/>
          <w:szCs w:val="28"/>
        </w:rPr>
        <w:t xml:space="preserve">% (на </w:t>
      </w:r>
      <w:r>
        <w:rPr>
          <w:sz w:val="28"/>
          <w:szCs w:val="28"/>
        </w:rPr>
        <w:t>0,3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.)</w:t>
      </w:r>
    </w:p>
    <w:p w:rsidR="003C5A50" w:rsidRDefault="00456D70" w:rsidP="00EE3A2A">
      <w:pPr>
        <w:ind w:firstLine="709"/>
        <w:jc w:val="both"/>
        <w:rPr>
          <w:b/>
          <w:sz w:val="28"/>
          <w:szCs w:val="28"/>
        </w:rPr>
      </w:pPr>
      <w:r w:rsidRPr="00926F2B">
        <w:rPr>
          <w:sz w:val="28"/>
          <w:szCs w:val="28"/>
        </w:rPr>
        <w:t xml:space="preserve">  Все расходы по разделу учтены  в муниципальной программе «Липецк – мы вместе!» и направлены на выполнение муниципа</w:t>
      </w:r>
      <w:r>
        <w:rPr>
          <w:sz w:val="28"/>
          <w:szCs w:val="28"/>
        </w:rPr>
        <w:t>льного задания МАИУ «Мой город</w:t>
      </w:r>
      <w:r w:rsidRPr="00926F2B">
        <w:rPr>
          <w:sz w:val="28"/>
          <w:szCs w:val="28"/>
        </w:rPr>
        <w:t xml:space="preserve"> Липецк» по подразделу </w:t>
      </w:r>
      <w:r w:rsidRPr="00926F2B">
        <w:rPr>
          <w:i/>
          <w:sz w:val="28"/>
          <w:szCs w:val="28"/>
        </w:rPr>
        <w:t>«Периодическая печать и издательство»</w:t>
      </w:r>
      <w:r w:rsidRPr="00926F2B">
        <w:rPr>
          <w:sz w:val="28"/>
          <w:szCs w:val="28"/>
        </w:rPr>
        <w:t>.</w:t>
      </w:r>
    </w:p>
    <w:p w:rsidR="00BD5CC2" w:rsidRDefault="00BD5CC2" w:rsidP="00BD5C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Муниципальный долг</w:t>
      </w:r>
    </w:p>
    <w:p w:rsidR="00BD5CC2" w:rsidRDefault="00BD5CC2" w:rsidP="00BD5CC2">
      <w:pPr>
        <w:ind w:firstLine="709"/>
        <w:jc w:val="center"/>
        <w:rPr>
          <w:b/>
          <w:sz w:val="28"/>
          <w:szCs w:val="28"/>
        </w:rPr>
      </w:pPr>
    </w:p>
    <w:p w:rsidR="00BD5CC2" w:rsidRDefault="00BD5CC2" w:rsidP="00BD5CC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Предельный объём муниципального долга</w:t>
      </w:r>
      <w:r w:rsidR="00245E8C">
        <w:rPr>
          <w:sz w:val="28"/>
          <w:szCs w:val="28"/>
        </w:rPr>
        <w:t xml:space="preserve"> на 201</w:t>
      </w:r>
      <w:r w:rsidR="00C74336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предл</w:t>
      </w:r>
      <w:r w:rsidR="00541395">
        <w:rPr>
          <w:sz w:val="28"/>
          <w:szCs w:val="28"/>
        </w:rPr>
        <w:t xml:space="preserve">агается утвердить в сумме </w:t>
      </w:r>
      <w:r w:rsidR="00C74336">
        <w:rPr>
          <w:sz w:val="28"/>
          <w:szCs w:val="28"/>
        </w:rPr>
        <w:t>3636</w:t>
      </w:r>
      <w:r w:rsidR="00541395">
        <w:rPr>
          <w:sz w:val="28"/>
          <w:szCs w:val="28"/>
        </w:rPr>
        <w:t>,</w:t>
      </w:r>
      <w:r w:rsidR="00C74336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руб., увеличив по сравнению с </w:t>
      </w:r>
      <w:r w:rsidR="00E62AEF">
        <w:rPr>
          <w:sz w:val="28"/>
          <w:szCs w:val="28"/>
        </w:rPr>
        <w:t>последней утвержденной в текущем году величи</w:t>
      </w:r>
      <w:r w:rsidR="00541395">
        <w:rPr>
          <w:sz w:val="28"/>
          <w:szCs w:val="28"/>
        </w:rPr>
        <w:t>н</w:t>
      </w:r>
      <w:r w:rsidR="00E62AEF">
        <w:rPr>
          <w:sz w:val="28"/>
          <w:szCs w:val="28"/>
        </w:rPr>
        <w:t>ой на</w:t>
      </w:r>
      <w:r w:rsidR="00541395">
        <w:rPr>
          <w:sz w:val="28"/>
          <w:szCs w:val="28"/>
        </w:rPr>
        <w:t xml:space="preserve"> </w:t>
      </w:r>
      <w:r w:rsidR="00C74336">
        <w:rPr>
          <w:sz w:val="28"/>
          <w:szCs w:val="28"/>
        </w:rPr>
        <w:t>40,9</w:t>
      </w:r>
      <w:r w:rsidR="00541395">
        <w:rPr>
          <w:sz w:val="28"/>
          <w:szCs w:val="28"/>
        </w:rPr>
        <w:t xml:space="preserve">% или на </w:t>
      </w:r>
      <w:r w:rsidR="00C74336">
        <w:rPr>
          <w:sz w:val="28"/>
          <w:szCs w:val="28"/>
        </w:rPr>
        <w:t>1056,5</w:t>
      </w:r>
      <w:r>
        <w:rPr>
          <w:sz w:val="28"/>
          <w:szCs w:val="28"/>
        </w:rPr>
        <w:t xml:space="preserve"> млн. рублей. </w:t>
      </w:r>
    </w:p>
    <w:p w:rsidR="00BD5CC2" w:rsidRDefault="00BD5CC2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отношению к  годовому объёму доходов местного бюджета без учета утвержденного объёма безвозмездных поступлений и   поступлений налоговых доходов  по дополнительным нормативам отчислений, предельный объём </w:t>
      </w:r>
      <w:r w:rsidR="003D696F">
        <w:rPr>
          <w:sz w:val="28"/>
          <w:szCs w:val="28"/>
        </w:rPr>
        <w:t>муниципального долга составит 87</w:t>
      </w:r>
      <w:r w:rsidR="00541395">
        <w:rPr>
          <w:sz w:val="28"/>
          <w:szCs w:val="28"/>
        </w:rPr>
        <w:t>,</w:t>
      </w:r>
      <w:r w:rsidR="003D696F">
        <w:rPr>
          <w:sz w:val="28"/>
          <w:szCs w:val="28"/>
        </w:rPr>
        <w:t>2</w:t>
      </w:r>
      <w:r w:rsidR="000B4FD7">
        <w:rPr>
          <w:sz w:val="28"/>
          <w:szCs w:val="28"/>
        </w:rPr>
        <w:t>%</w:t>
      </w:r>
      <w:r w:rsidR="00E62AEF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не превысит ограничений, установленных нормами статьи 107 БК РФ</w:t>
      </w:r>
      <w:r w:rsidR="00541395">
        <w:rPr>
          <w:sz w:val="28"/>
          <w:szCs w:val="28"/>
        </w:rPr>
        <w:t>, но вместе с тем превысит  показатель 201</w:t>
      </w:r>
      <w:r w:rsidR="003D696F">
        <w:rPr>
          <w:sz w:val="28"/>
          <w:szCs w:val="28"/>
        </w:rPr>
        <w:t>8</w:t>
      </w:r>
      <w:r w:rsidR="00541395">
        <w:rPr>
          <w:sz w:val="28"/>
          <w:szCs w:val="28"/>
        </w:rPr>
        <w:t xml:space="preserve"> года на </w:t>
      </w:r>
      <w:r w:rsidR="003D696F">
        <w:rPr>
          <w:sz w:val="28"/>
          <w:szCs w:val="28"/>
        </w:rPr>
        <w:t>5,4</w:t>
      </w:r>
      <w:r w:rsidR="00541395">
        <w:rPr>
          <w:sz w:val="28"/>
          <w:szCs w:val="28"/>
        </w:rPr>
        <w:t xml:space="preserve"> процентных пункта</w:t>
      </w:r>
      <w:r>
        <w:rPr>
          <w:sz w:val="28"/>
          <w:szCs w:val="28"/>
        </w:rPr>
        <w:t>.</w:t>
      </w:r>
    </w:p>
    <w:p w:rsidR="00BD5CC2" w:rsidRDefault="00BD5CC2" w:rsidP="00BD5CC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Верхний предел муниципального долга</w:t>
      </w:r>
      <w:r>
        <w:rPr>
          <w:sz w:val="28"/>
          <w:szCs w:val="28"/>
        </w:rPr>
        <w:t xml:space="preserve"> предлагается установит</w:t>
      </w:r>
      <w:r w:rsidR="00541395">
        <w:rPr>
          <w:sz w:val="28"/>
          <w:szCs w:val="28"/>
        </w:rPr>
        <w:t>ь по состоянию на 1 января 20</w:t>
      </w:r>
      <w:r w:rsidR="003D696F">
        <w:rPr>
          <w:sz w:val="28"/>
          <w:szCs w:val="28"/>
        </w:rPr>
        <w:t>20</w:t>
      </w:r>
      <w:r w:rsidR="00541395">
        <w:rPr>
          <w:sz w:val="28"/>
          <w:szCs w:val="28"/>
        </w:rPr>
        <w:t xml:space="preserve"> года в сумме </w:t>
      </w:r>
      <w:r w:rsidR="003D696F">
        <w:rPr>
          <w:sz w:val="28"/>
          <w:szCs w:val="28"/>
        </w:rPr>
        <w:t>2730</w:t>
      </w:r>
      <w:r w:rsidR="00541395">
        <w:rPr>
          <w:sz w:val="28"/>
          <w:szCs w:val="28"/>
        </w:rPr>
        <w:t>,4</w:t>
      </w:r>
      <w:r>
        <w:rPr>
          <w:sz w:val="28"/>
          <w:szCs w:val="28"/>
        </w:rPr>
        <w:t xml:space="preserve"> млн. руб., в том числе по мун</w:t>
      </w:r>
      <w:r w:rsidR="00541395">
        <w:rPr>
          <w:sz w:val="28"/>
          <w:szCs w:val="28"/>
        </w:rPr>
        <w:t xml:space="preserve">иципальным заимствованиям </w:t>
      </w:r>
      <w:r w:rsidR="003D696F">
        <w:rPr>
          <w:sz w:val="28"/>
          <w:szCs w:val="28"/>
        </w:rPr>
        <w:t>–</w:t>
      </w:r>
      <w:r w:rsidR="00541395">
        <w:rPr>
          <w:sz w:val="28"/>
          <w:szCs w:val="28"/>
        </w:rPr>
        <w:t xml:space="preserve"> </w:t>
      </w:r>
      <w:r w:rsidR="003D696F">
        <w:rPr>
          <w:sz w:val="28"/>
          <w:szCs w:val="28"/>
        </w:rPr>
        <w:t>2280,0</w:t>
      </w:r>
      <w:r>
        <w:rPr>
          <w:sz w:val="28"/>
          <w:szCs w:val="28"/>
        </w:rPr>
        <w:t xml:space="preserve"> млн. руб. и </w:t>
      </w:r>
      <w:r w:rsidR="00541395">
        <w:rPr>
          <w:sz w:val="28"/>
          <w:szCs w:val="28"/>
        </w:rPr>
        <w:t>муниципальным гарантиям – 450,4</w:t>
      </w:r>
      <w:r>
        <w:rPr>
          <w:sz w:val="28"/>
          <w:szCs w:val="28"/>
        </w:rPr>
        <w:t xml:space="preserve"> млн. рублей. </w:t>
      </w:r>
    </w:p>
    <w:p w:rsidR="00BD5CC2" w:rsidRDefault="00BD5CC2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</w:t>
      </w:r>
      <w:r>
        <w:rPr>
          <w:i/>
          <w:sz w:val="28"/>
          <w:szCs w:val="28"/>
        </w:rPr>
        <w:t xml:space="preserve">по муниципальным заимствованиям  </w:t>
      </w:r>
      <w:r w:rsidR="00DD6BF5">
        <w:rPr>
          <w:sz w:val="28"/>
          <w:szCs w:val="28"/>
        </w:rPr>
        <w:t xml:space="preserve"> увеличится на 13</w:t>
      </w:r>
      <w:r w:rsidR="00541395">
        <w:rPr>
          <w:sz w:val="28"/>
          <w:szCs w:val="28"/>
        </w:rPr>
        <w:t xml:space="preserve">,7% или на </w:t>
      </w:r>
      <w:r w:rsidR="00DD6BF5">
        <w:rPr>
          <w:sz w:val="28"/>
          <w:szCs w:val="28"/>
        </w:rPr>
        <w:t>330</w:t>
      </w:r>
      <w:r w:rsidR="00541395">
        <w:rPr>
          <w:sz w:val="28"/>
          <w:szCs w:val="28"/>
        </w:rPr>
        <w:t>,4</w:t>
      </w:r>
      <w:r>
        <w:rPr>
          <w:sz w:val="28"/>
          <w:szCs w:val="28"/>
        </w:rPr>
        <w:t xml:space="preserve"> млн. руб.   за счет дополнительного привл</w:t>
      </w:r>
      <w:r w:rsidR="00541395">
        <w:rPr>
          <w:sz w:val="28"/>
          <w:szCs w:val="28"/>
        </w:rPr>
        <w:t>ечения кредитов.  В течение 201</w:t>
      </w:r>
      <w:r w:rsidR="00593C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планирует</w:t>
      </w:r>
      <w:r w:rsidR="00541395">
        <w:rPr>
          <w:sz w:val="28"/>
          <w:szCs w:val="28"/>
        </w:rPr>
        <w:t xml:space="preserve">ся привлечь кредиты в сумме </w:t>
      </w:r>
      <w:r w:rsidR="00DD6BF5">
        <w:rPr>
          <w:sz w:val="28"/>
          <w:szCs w:val="28"/>
        </w:rPr>
        <w:t>12</w:t>
      </w:r>
      <w:r w:rsidR="00541395">
        <w:rPr>
          <w:sz w:val="28"/>
          <w:szCs w:val="28"/>
        </w:rPr>
        <w:t xml:space="preserve">50,0 млн. руб., в том числе кредиты кредитных организаций в объеме </w:t>
      </w:r>
      <w:r w:rsidR="00DD6BF5">
        <w:rPr>
          <w:sz w:val="28"/>
          <w:szCs w:val="28"/>
        </w:rPr>
        <w:t>9</w:t>
      </w:r>
      <w:r w:rsidR="00541395">
        <w:rPr>
          <w:sz w:val="28"/>
          <w:szCs w:val="28"/>
        </w:rPr>
        <w:t xml:space="preserve">50,0 млн. руб. и краткосрочный бюджетный кредит из средств областного бюджета – </w:t>
      </w:r>
      <w:r w:rsidR="00DD6BF5">
        <w:rPr>
          <w:sz w:val="28"/>
          <w:szCs w:val="28"/>
        </w:rPr>
        <w:t>2</w:t>
      </w:r>
      <w:r w:rsidR="00541395">
        <w:rPr>
          <w:sz w:val="28"/>
          <w:szCs w:val="28"/>
        </w:rPr>
        <w:t>00,0 млн. рублей.</w:t>
      </w:r>
      <w:r w:rsidR="00DD6BF5">
        <w:rPr>
          <w:sz w:val="28"/>
          <w:szCs w:val="28"/>
        </w:rPr>
        <w:t xml:space="preserve"> Часть к</w:t>
      </w:r>
      <w:r w:rsidR="00541395">
        <w:rPr>
          <w:sz w:val="28"/>
          <w:szCs w:val="28"/>
        </w:rPr>
        <w:t>редит</w:t>
      </w:r>
      <w:r w:rsidR="00DD6BF5">
        <w:rPr>
          <w:sz w:val="28"/>
          <w:szCs w:val="28"/>
        </w:rPr>
        <w:t>ов</w:t>
      </w:r>
      <w:r w:rsidR="00541395">
        <w:rPr>
          <w:sz w:val="28"/>
          <w:szCs w:val="28"/>
        </w:rPr>
        <w:t xml:space="preserve"> планируется направить на погашение действующих долговых обязательств, а именно, на погашение бюджетных кредитов в объеме </w:t>
      </w:r>
      <w:r w:rsidR="00DD6BF5">
        <w:rPr>
          <w:sz w:val="28"/>
          <w:szCs w:val="28"/>
        </w:rPr>
        <w:t>206</w:t>
      </w:r>
      <w:r w:rsidR="00541395">
        <w:rPr>
          <w:sz w:val="28"/>
          <w:szCs w:val="28"/>
        </w:rPr>
        <w:t>,</w:t>
      </w:r>
      <w:r w:rsidR="00252045">
        <w:rPr>
          <w:sz w:val="28"/>
          <w:szCs w:val="28"/>
        </w:rPr>
        <w:t>5</w:t>
      </w:r>
      <w:r w:rsidR="00541395">
        <w:rPr>
          <w:sz w:val="28"/>
          <w:szCs w:val="28"/>
        </w:rPr>
        <w:t xml:space="preserve"> млн. руб</w:t>
      </w:r>
      <w:r w:rsidR="00DD6BF5">
        <w:rPr>
          <w:sz w:val="28"/>
          <w:szCs w:val="28"/>
        </w:rPr>
        <w:t>., кредитных организаций – 700 млн. рублей.</w:t>
      </w:r>
      <w:r w:rsidR="00541395">
        <w:rPr>
          <w:sz w:val="28"/>
          <w:szCs w:val="28"/>
        </w:rPr>
        <w:t xml:space="preserve"> </w:t>
      </w:r>
      <w:r w:rsidR="00DD6BF5">
        <w:rPr>
          <w:sz w:val="28"/>
          <w:szCs w:val="28"/>
        </w:rPr>
        <w:t xml:space="preserve">В </w:t>
      </w:r>
      <w:r w:rsidR="00105B62">
        <w:rPr>
          <w:sz w:val="28"/>
          <w:szCs w:val="28"/>
        </w:rPr>
        <w:t>прогнозном</w:t>
      </w:r>
      <w:r w:rsidR="00541395">
        <w:rPr>
          <w:sz w:val="28"/>
          <w:szCs w:val="28"/>
        </w:rPr>
        <w:t xml:space="preserve"> периоде</w:t>
      </w:r>
      <w:r w:rsidR="000B4FD7">
        <w:rPr>
          <w:sz w:val="28"/>
          <w:szCs w:val="28"/>
        </w:rPr>
        <w:t xml:space="preserve"> 20</w:t>
      </w:r>
      <w:r w:rsidR="00DD6BF5">
        <w:rPr>
          <w:sz w:val="28"/>
          <w:szCs w:val="28"/>
        </w:rPr>
        <w:t>20</w:t>
      </w:r>
      <w:r w:rsidR="000B4FD7">
        <w:rPr>
          <w:sz w:val="28"/>
          <w:szCs w:val="28"/>
        </w:rPr>
        <w:t xml:space="preserve"> и </w:t>
      </w:r>
      <w:r w:rsidR="00105B62">
        <w:rPr>
          <w:sz w:val="28"/>
          <w:szCs w:val="28"/>
        </w:rPr>
        <w:t>202</w:t>
      </w:r>
      <w:r w:rsidR="00DD6BF5">
        <w:rPr>
          <w:sz w:val="28"/>
          <w:szCs w:val="28"/>
        </w:rPr>
        <w:t>1</w:t>
      </w:r>
      <w:r w:rsidR="00105B62">
        <w:rPr>
          <w:sz w:val="28"/>
          <w:szCs w:val="28"/>
        </w:rPr>
        <w:t xml:space="preserve"> годов</w:t>
      </w:r>
      <w:r w:rsidR="00541395">
        <w:rPr>
          <w:sz w:val="28"/>
          <w:szCs w:val="28"/>
        </w:rPr>
        <w:t xml:space="preserve"> </w:t>
      </w:r>
      <w:r w:rsidR="00DD6BF5">
        <w:rPr>
          <w:sz w:val="28"/>
          <w:szCs w:val="28"/>
        </w:rPr>
        <w:t xml:space="preserve">планируется получить кредиты кредитных организаций </w:t>
      </w:r>
      <w:r w:rsidR="007051F4">
        <w:rPr>
          <w:sz w:val="28"/>
          <w:szCs w:val="28"/>
        </w:rPr>
        <w:t xml:space="preserve">в размере </w:t>
      </w:r>
      <w:r w:rsidR="00DD6BF5">
        <w:rPr>
          <w:sz w:val="28"/>
          <w:szCs w:val="28"/>
        </w:rPr>
        <w:t xml:space="preserve">800 млн. руб. и 530 млн. руб. соответственно и осуществить </w:t>
      </w:r>
      <w:r w:rsidR="00252045">
        <w:rPr>
          <w:sz w:val="28"/>
          <w:szCs w:val="28"/>
        </w:rPr>
        <w:t>погашение</w:t>
      </w:r>
      <w:r w:rsidR="00DD6BF5">
        <w:rPr>
          <w:sz w:val="28"/>
          <w:szCs w:val="28"/>
        </w:rPr>
        <w:t xml:space="preserve"> ранее полученных кредитов в эт</w:t>
      </w:r>
      <w:r w:rsidR="00252045">
        <w:rPr>
          <w:sz w:val="28"/>
          <w:szCs w:val="28"/>
        </w:rPr>
        <w:t>ом</w:t>
      </w:r>
      <w:r w:rsidR="00DD6BF5">
        <w:rPr>
          <w:sz w:val="28"/>
          <w:szCs w:val="28"/>
        </w:rPr>
        <w:t xml:space="preserve"> же объем</w:t>
      </w:r>
      <w:r w:rsidR="00252045">
        <w:rPr>
          <w:sz w:val="28"/>
          <w:szCs w:val="28"/>
        </w:rPr>
        <w:t>е</w:t>
      </w:r>
      <w:r w:rsidR="00EF74FE">
        <w:rPr>
          <w:sz w:val="28"/>
          <w:szCs w:val="28"/>
        </w:rPr>
        <w:t>.</w:t>
      </w:r>
    </w:p>
    <w:p w:rsidR="00BD5CC2" w:rsidRDefault="00BD5CC2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</w:t>
      </w:r>
      <w:r>
        <w:rPr>
          <w:i/>
          <w:sz w:val="28"/>
          <w:szCs w:val="28"/>
        </w:rPr>
        <w:t xml:space="preserve">по муниципальным гарантиям </w:t>
      </w:r>
      <w:r w:rsidR="00EF74FE">
        <w:rPr>
          <w:sz w:val="28"/>
          <w:szCs w:val="28"/>
        </w:rPr>
        <w:t>по состоянию на 01.01.201</w:t>
      </w:r>
      <w:r w:rsidR="00C0769A">
        <w:rPr>
          <w:sz w:val="28"/>
          <w:szCs w:val="28"/>
        </w:rPr>
        <w:t>9</w:t>
      </w:r>
      <w:r w:rsidR="00EF74FE">
        <w:rPr>
          <w:sz w:val="28"/>
          <w:szCs w:val="28"/>
        </w:rPr>
        <w:t xml:space="preserve"> года  утвержден в сумме </w:t>
      </w:r>
      <w:r w:rsidR="00C0769A">
        <w:rPr>
          <w:sz w:val="28"/>
          <w:szCs w:val="28"/>
        </w:rPr>
        <w:t>450,4</w:t>
      </w:r>
      <w:r>
        <w:rPr>
          <w:sz w:val="28"/>
          <w:szCs w:val="28"/>
        </w:rPr>
        <w:t xml:space="preserve"> млн. руб.</w:t>
      </w:r>
      <w:r w:rsidR="00C0769A">
        <w:rPr>
          <w:sz w:val="28"/>
          <w:szCs w:val="28"/>
        </w:rPr>
        <w:t xml:space="preserve"> и планируется сохранение этого же объема по состоянию на 01.01.20</w:t>
      </w:r>
      <w:r w:rsidR="0052703F">
        <w:rPr>
          <w:sz w:val="28"/>
          <w:szCs w:val="28"/>
        </w:rPr>
        <w:t>21</w:t>
      </w:r>
      <w:r w:rsidR="00C0769A">
        <w:rPr>
          <w:sz w:val="28"/>
          <w:szCs w:val="28"/>
        </w:rPr>
        <w:t xml:space="preserve"> г</w:t>
      </w:r>
      <w:r w:rsidR="00252045">
        <w:rPr>
          <w:sz w:val="28"/>
          <w:szCs w:val="28"/>
        </w:rPr>
        <w:t>ода</w:t>
      </w:r>
      <w:r w:rsidR="00C076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5A50" w:rsidRDefault="00EF74FE" w:rsidP="00EE3A2A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Динамика  муниципального долга по видам долговых обязательств с 2008 года (момент выдачи муниципальной гарантии) представлена </w:t>
      </w:r>
      <w:r w:rsidR="00105B62">
        <w:rPr>
          <w:sz w:val="28"/>
          <w:szCs w:val="28"/>
        </w:rPr>
        <w:t>следующ</w:t>
      </w:r>
      <w:r w:rsidR="0052703F">
        <w:rPr>
          <w:sz w:val="28"/>
          <w:szCs w:val="28"/>
        </w:rPr>
        <w:t>ими</w:t>
      </w:r>
      <w:r w:rsidR="00105B62">
        <w:rPr>
          <w:sz w:val="28"/>
          <w:szCs w:val="28"/>
        </w:rPr>
        <w:t xml:space="preserve"> </w:t>
      </w:r>
      <w:r w:rsidR="0052703F">
        <w:rPr>
          <w:sz w:val="28"/>
          <w:szCs w:val="28"/>
        </w:rPr>
        <w:t>графиками</w:t>
      </w:r>
      <w:r>
        <w:rPr>
          <w:sz w:val="28"/>
          <w:szCs w:val="28"/>
        </w:rPr>
        <w:t>:</w:t>
      </w:r>
    </w:p>
    <w:p w:rsidR="00AE1A8D" w:rsidRPr="000B4FD7" w:rsidRDefault="004F0E2D" w:rsidP="000B4FD7">
      <w:pPr>
        <w:ind w:firstLine="709"/>
        <w:jc w:val="right"/>
        <w:rPr>
          <w:sz w:val="24"/>
          <w:szCs w:val="24"/>
        </w:rPr>
      </w:pPr>
      <w:r w:rsidRPr="004F0E2D">
        <w:rPr>
          <w:sz w:val="24"/>
          <w:szCs w:val="24"/>
        </w:rPr>
        <w:t>(млн. руб.)</w:t>
      </w:r>
    </w:p>
    <w:p w:rsidR="004F0E2D" w:rsidRDefault="004F0E2D" w:rsidP="00BD5CC2">
      <w:pPr>
        <w:ind w:firstLine="709"/>
        <w:jc w:val="both"/>
        <w:rPr>
          <w:sz w:val="28"/>
          <w:szCs w:val="28"/>
        </w:rPr>
      </w:pPr>
      <w:r w:rsidRPr="00CB58D9">
        <w:rPr>
          <w:noProof/>
          <w:sz w:val="28"/>
          <w:szCs w:val="28"/>
        </w:rPr>
        <w:drawing>
          <wp:inline distT="0" distB="0" distL="0" distR="0" wp14:anchorId="411730B9" wp14:editId="31B5061F">
            <wp:extent cx="5486400" cy="3419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74FE" w:rsidRDefault="00EF74FE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</w:t>
      </w:r>
      <w:r w:rsidR="0052703F">
        <w:rPr>
          <w:sz w:val="28"/>
          <w:szCs w:val="28"/>
        </w:rPr>
        <w:t>приведенных графиков видно, что</w:t>
      </w:r>
      <w:r w:rsidR="007051F4">
        <w:rPr>
          <w:sz w:val="28"/>
          <w:szCs w:val="28"/>
        </w:rPr>
        <w:t>,</w:t>
      </w:r>
      <w:r w:rsidR="0052703F">
        <w:rPr>
          <w:sz w:val="28"/>
          <w:szCs w:val="28"/>
        </w:rPr>
        <w:t xml:space="preserve"> несмотря на списание муниципальной гарант</w:t>
      </w:r>
      <w:proofErr w:type="gramStart"/>
      <w:r w:rsidR="0052703F">
        <w:rPr>
          <w:sz w:val="28"/>
          <w:szCs w:val="28"/>
        </w:rPr>
        <w:t>ии АО</w:t>
      </w:r>
      <w:proofErr w:type="gramEnd"/>
      <w:r w:rsidR="0052703F">
        <w:rPr>
          <w:sz w:val="28"/>
          <w:szCs w:val="28"/>
        </w:rPr>
        <w:t xml:space="preserve"> «ЛГЭК», </w:t>
      </w:r>
      <w:r>
        <w:rPr>
          <w:sz w:val="28"/>
          <w:szCs w:val="28"/>
        </w:rPr>
        <w:t xml:space="preserve"> объем муниципального долга в целом </w:t>
      </w:r>
      <w:r w:rsidR="00C0769A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 к снижению</w:t>
      </w:r>
      <w:r w:rsidR="0052703F">
        <w:rPr>
          <w:sz w:val="28"/>
          <w:szCs w:val="28"/>
        </w:rPr>
        <w:t xml:space="preserve"> за счет роста </w:t>
      </w:r>
      <w:r w:rsidR="00C020E9">
        <w:rPr>
          <w:sz w:val="28"/>
          <w:szCs w:val="28"/>
        </w:rPr>
        <w:t>кредитов кредитных организаций, которые в общем объеме долга составят 83,5%</w:t>
      </w:r>
      <w:r>
        <w:rPr>
          <w:sz w:val="28"/>
          <w:szCs w:val="28"/>
        </w:rPr>
        <w:t>.</w:t>
      </w:r>
    </w:p>
    <w:p w:rsidR="006816F5" w:rsidRDefault="00484FC8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FD7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1 января 20</w:t>
      </w:r>
      <w:r w:rsidR="005208E7">
        <w:rPr>
          <w:sz w:val="28"/>
          <w:szCs w:val="28"/>
        </w:rPr>
        <w:t>19</w:t>
      </w:r>
      <w:r w:rsidR="006816F5">
        <w:rPr>
          <w:sz w:val="28"/>
          <w:szCs w:val="28"/>
        </w:rPr>
        <w:t xml:space="preserve"> года, у муниципального образования город Липецк оста</w:t>
      </w:r>
      <w:r w:rsidR="00C020E9">
        <w:rPr>
          <w:sz w:val="28"/>
          <w:szCs w:val="28"/>
        </w:rPr>
        <w:t>н</w:t>
      </w:r>
      <w:r w:rsidR="005208E7">
        <w:rPr>
          <w:sz w:val="28"/>
          <w:szCs w:val="28"/>
        </w:rPr>
        <w:t>ется</w:t>
      </w:r>
      <w:r w:rsidR="006816F5">
        <w:rPr>
          <w:sz w:val="28"/>
          <w:szCs w:val="28"/>
        </w:rPr>
        <w:t xml:space="preserve"> обязательств</w:t>
      </w:r>
      <w:r w:rsidR="005208E7">
        <w:rPr>
          <w:sz w:val="28"/>
          <w:szCs w:val="28"/>
        </w:rPr>
        <w:t>о</w:t>
      </w:r>
      <w:r w:rsidR="006816F5">
        <w:rPr>
          <w:sz w:val="28"/>
          <w:szCs w:val="28"/>
        </w:rPr>
        <w:t xml:space="preserve">  по одной муниципальной гарантии, выданной МУП «</w:t>
      </w:r>
      <w:proofErr w:type="spellStart"/>
      <w:r w:rsidR="006816F5">
        <w:rPr>
          <w:sz w:val="28"/>
          <w:szCs w:val="28"/>
        </w:rPr>
        <w:t>ЛиСА</w:t>
      </w:r>
      <w:proofErr w:type="spellEnd"/>
      <w:r w:rsidR="006816F5">
        <w:rPr>
          <w:sz w:val="28"/>
          <w:szCs w:val="28"/>
        </w:rPr>
        <w:t>» под обеспечение обязательств по кредитному соглашению перед ЕБРР.</w:t>
      </w:r>
    </w:p>
    <w:p w:rsidR="006816F5" w:rsidRDefault="006816F5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города ежегодно предусматриваются бюджетные ассигнования на исполнение муниципальных гарантий по возможным гарантийным случаям. </w:t>
      </w:r>
      <w:r w:rsidR="00A10707">
        <w:rPr>
          <w:sz w:val="28"/>
          <w:szCs w:val="28"/>
        </w:rPr>
        <w:t>Н</w:t>
      </w:r>
      <w:r>
        <w:rPr>
          <w:sz w:val="28"/>
          <w:szCs w:val="28"/>
        </w:rPr>
        <w:t>а 201</w:t>
      </w:r>
      <w:r w:rsidR="00484FC8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 </w:t>
      </w:r>
      <w:r w:rsidR="00484FC8">
        <w:rPr>
          <w:sz w:val="28"/>
          <w:szCs w:val="28"/>
        </w:rPr>
        <w:t>66,7</w:t>
      </w:r>
      <w:r>
        <w:rPr>
          <w:sz w:val="28"/>
          <w:szCs w:val="28"/>
        </w:rPr>
        <w:t xml:space="preserve"> млн. руб.</w:t>
      </w:r>
      <w:r w:rsidR="00AE1A8D">
        <w:rPr>
          <w:sz w:val="28"/>
          <w:szCs w:val="28"/>
        </w:rPr>
        <w:t xml:space="preserve"> в связи с возможным наступлением</w:t>
      </w:r>
      <w:r>
        <w:rPr>
          <w:sz w:val="28"/>
          <w:szCs w:val="28"/>
        </w:rPr>
        <w:t xml:space="preserve"> гарантийных</w:t>
      </w:r>
      <w:r w:rsidR="00AE1A8D">
        <w:rPr>
          <w:sz w:val="28"/>
          <w:szCs w:val="28"/>
        </w:rPr>
        <w:t xml:space="preserve"> случаев по выданн</w:t>
      </w:r>
      <w:r w:rsidR="00484FC8">
        <w:rPr>
          <w:sz w:val="28"/>
          <w:szCs w:val="28"/>
        </w:rPr>
        <w:t xml:space="preserve">ой </w:t>
      </w:r>
      <w:r w:rsidR="00AE1A8D">
        <w:rPr>
          <w:sz w:val="28"/>
          <w:szCs w:val="28"/>
        </w:rPr>
        <w:t>муниципальн</w:t>
      </w:r>
      <w:r w:rsidR="00484FC8">
        <w:rPr>
          <w:sz w:val="28"/>
          <w:szCs w:val="28"/>
        </w:rPr>
        <w:t>ой</w:t>
      </w:r>
      <w:r w:rsidR="00AE1A8D">
        <w:rPr>
          <w:sz w:val="28"/>
          <w:szCs w:val="28"/>
        </w:rPr>
        <w:t xml:space="preserve"> гаранти</w:t>
      </w:r>
      <w:r w:rsidR="00484FC8">
        <w:rPr>
          <w:sz w:val="28"/>
          <w:szCs w:val="28"/>
        </w:rPr>
        <w:t>и</w:t>
      </w:r>
      <w:r w:rsidR="00AE1A8D">
        <w:rPr>
          <w:sz w:val="28"/>
          <w:szCs w:val="28"/>
        </w:rPr>
        <w:t xml:space="preserve"> без права регрессного требования.</w:t>
      </w:r>
    </w:p>
    <w:p w:rsidR="00A10707" w:rsidRDefault="00A10707" w:rsidP="00BD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резервируются независимо от того будут или не будут производиться выплаты по гарантийным случаям и не участвуют в распределении на нужды городского хозяйства. </w:t>
      </w:r>
    </w:p>
    <w:p w:rsidR="00841896" w:rsidRDefault="00841896" w:rsidP="008716CA">
      <w:pPr>
        <w:ind w:firstLine="709"/>
        <w:jc w:val="center"/>
        <w:rPr>
          <w:b/>
          <w:sz w:val="28"/>
          <w:szCs w:val="28"/>
        </w:rPr>
      </w:pPr>
    </w:p>
    <w:p w:rsidR="00456D70" w:rsidRDefault="00E11A50" w:rsidP="008716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716CA" w:rsidRDefault="00E16912" w:rsidP="008716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716CA" w:rsidRPr="008716CA">
        <w:rPr>
          <w:b/>
          <w:sz w:val="28"/>
          <w:szCs w:val="28"/>
        </w:rPr>
        <w:t>ыводы и предложения</w:t>
      </w:r>
    </w:p>
    <w:p w:rsidR="00E16912" w:rsidRPr="008716CA" w:rsidRDefault="00E16912" w:rsidP="008716CA">
      <w:pPr>
        <w:ind w:firstLine="709"/>
        <w:jc w:val="center"/>
        <w:rPr>
          <w:b/>
          <w:sz w:val="28"/>
          <w:szCs w:val="28"/>
        </w:rPr>
      </w:pPr>
    </w:p>
    <w:p w:rsidR="008716CA" w:rsidRPr="008716CA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 xml:space="preserve">По результатам </w:t>
      </w:r>
      <w:proofErr w:type="gramStart"/>
      <w:r w:rsidRPr="008716CA">
        <w:rPr>
          <w:sz w:val="28"/>
          <w:szCs w:val="28"/>
        </w:rPr>
        <w:t>экспертизы проекта бюджета города Липецка</w:t>
      </w:r>
      <w:proofErr w:type="gramEnd"/>
      <w:r w:rsidRPr="008716CA">
        <w:rPr>
          <w:sz w:val="28"/>
          <w:szCs w:val="28"/>
        </w:rPr>
        <w:t xml:space="preserve"> на 201</w:t>
      </w:r>
      <w:r w:rsidR="001322D5">
        <w:rPr>
          <w:sz w:val="28"/>
          <w:szCs w:val="28"/>
        </w:rPr>
        <w:t>9</w:t>
      </w:r>
      <w:r w:rsidRPr="008716CA">
        <w:rPr>
          <w:sz w:val="28"/>
          <w:szCs w:val="28"/>
        </w:rPr>
        <w:t xml:space="preserve"> и на плановый период 20</w:t>
      </w:r>
      <w:r w:rsidR="001322D5">
        <w:rPr>
          <w:sz w:val="28"/>
          <w:szCs w:val="28"/>
        </w:rPr>
        <w:t>20</w:t>
      </w:r>
      <w:r w:rsidRPr="008716CA">
        <w:rPr>
          <w:sz w:val="28"/>
          <w:szCs w:val="28"/>
        </w:rPr>
        <w:t xml:space="preserve"> и 202</w:t>
      </w:r>
      <w:r w:rsidR="001322D5">
        <w:rPr>
          <w:sz w:val="28"/>
          <w:szCs w:val="28"/>
        </w:rPr>
        <w:t>1</w:t>
      </w:r>
      <w:r w:rsidRPr="008716CA">
        <w:rPr>
          <w:sz w:val="28"/>
          <w:szCs w:val="28"/>
        </w:rPr>
        <w:t xml:space="preserve"> годов Счетная палата отмечает следующее.</w:t>
      </w:r>
    </w:p>
    <w:p w:rsidR="008716CA" w:rsidRPr="008716CA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 xml:space="preserve">Проект бюджета внесен на рассмотрение Липецкого городского Совета </w:t>
      </w:r>
      <w:r w:rsidR="007051F4">
        <w:rPr>
          <w:sz w:val="28"/>
          <w:szCs w:val="28"/>
        </w:rPr>
        <w:t xml:space="preserve">депутатов </w:t>
      </w:r>
      <w:r w:rsidRPr="008716CA">
        <w:rPr>
          <w:sz w:val="28"/>
          <w:szCs w:val="28"/>
        </w:rPr>
        <w:t>в установленный срок, в полном объеме и содержит все основные параметры необходимые для принятия Решения о бюджете города, установленные статьей 184.1 Бюджетного кодекса РФ и статьей 49 Положения «Об основах бюджетного устройства и бюджетного процесса в городе Липецке».</w:t>
      </w:r>
    </w:p>
    <w:p w:rsidR="008716CA" w:rsidRPr="008716CA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>Размеры дефицита бюджета, муниципального долга, резервного фонда не превышают предельных соотношений</w:t>
      </w:r>
      <w:r w:rsidR="007051F4">
        <w:rPr>
          <w:sz w:val="28"/>
          <w:szCs w:val="28"/>
        </w:rPr>
        <w:t>,</w:t>
      </w:r>
      <w:r w:rsidRPr="008716CA">
        <w:rPr>
          <w:sz w:val="28"/>
          <w:szCs w:val="28"/>
        </w:rPr>
        <w:t xml:space="preserve"> определенных Бюджетным кодексом</w:t>
      </w:r>
      <w:r w:rsidR="000B7EB0">
        <w:rPr>
          <w:sz w:val="28"/>
          <w:szCs w:val="28"/>
        </w:rPr>
        <w:t xml:space="preserve"> РФ</w:t>
      </w:r>
      <w:r w:rsidRPr="008716CA">
        <w:rPr>
          <w:sz w:val="28"/>
          <w:szCs w:val="28"/>
        </w:rPr>
        <w:t>.</w:t>
      </w:r>
    </w:p>
    <w:p w:rsidR="008716CA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 xml:space="preserve">Объем предусмотренных расходов соответствует суммарному объему доходов и источников финансирования </w:t>
      </w:r>
      <w:r w:rsidR="000B7EB0">
        <w:rPr>
          <w:sz w:val="28"/>
          <w:szCs w:val="28"/>
        </w:rPr>
        <w:t xml:space="preserve">дефицита </w:t>
      </w:r>
      <w:r w:rsidRPr="008716CA">
        <w:rPr>
          <w:sz w:val="28"/>
          <w:szCs w:val="28"/>
        </w:rPr>
        <w:t>бюджета, т.е. соблюдается принцип сбалансированности бюджета.</w:t>
      </w:r>
    </w:p>
    <w:p w:rsidR="001322D5" w:rsidRDefault="006D0E62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инфляционные процессы, объем собственных доходов бюджета на протяжении ряда последних лет остается практически неизменным,  порядка 4,5 – 5,0 млрд. руб.</w:t>
      </w:r>
      <w:r w:rsidR="005208E7">
        <w:rPr>
          <w:sz w:val="28"/>
          <w:szCs w:val="28"/>
        </w:rPr>
        <w:t>, что увеличивает зависи</w:t>
      </w:r>
      <w:r w:rsidR="00F062ED">
        <w:rPr>
          <w:sz w:val="28"/>
          <w:szCs w:val="28"/>
        </w:rPr>
        <w:t>мость бюджета города от бюджетов других уровней и заемных средств.</w:t>
      </w:r>
    </w:p>
    <w:p w:rsidR="006D0E62" w:rsidRDefault="006D0E62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понижения кадастровой стоимости земельных участков и вводимых льгот из года в год снижаются поступления</w:t>
      </w:r>
      <w:r w:rsidR="007051F4">
        <w:rPr>
          <w:sz w:val="28"/>
          <w:szCs w:val="28"/>
        </w:rPr>
        <w:t xml:space="preserve"> земельного налога.  Плательщики</w:t>
      </w:r>
      <w:r>
        <w:rPr>
          <w:sz w:val="28"/>
          <w:szCs w:val="28"/>
        </w:rPr>
        <w:t xml:space="preserve"> единого налога на вмененный доход, платежи которого полностью поступают в бюджет города</w:t>
      </w:r>
      <w:r w:rsidR="007C72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постепенно переходят на другие </w:t>
      </w:r>
      <w:r w:rsidR="007C72C0">
        <w:rPr>
          <w:sz w:val="28"/>
          <w:szCs w:val="28"/>
        </w:rPr>
        <w:t xml:space="preserve"> системы налогообложения, что ведет к перераспределению налоговых поступлений в бюджеты других уровней.</w:t>
      </w:r>
    </w:p>
    <w:p w:rsidR="007C72C0" w:rsidRDefault="007C72C0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Ежегодный рост фонда оплаты труда и предполагаемый в связи с этим рост поступлений НДФЛ нивелируется  понижением норматива отчислений НДФЛ в бюджет города.</w:t>
      </w:r>
    </w:p>
    <w:p w:rsidR="007C72C0" w:rsidRDefault="00FF3BA8" w:rsidP="00FF3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по каждому доходному источнику имеется резерв поступлений в виде неоплаченной задолженности, а общая сумма недоимки  по налоговым и неналоговым платежам на </w:t>
      </w:r>
      <w:r w:rsidR="007C72C0">
        <w:rPr>
          <w:sz w:val="28"/>
          <w:szCs w:val="28"/>
        </w:rPr>
        <w:t>0</w:t>
      </w:r>
      <w:r>
        <w:rPr>
          <w:sz w:val="28"/>
          <w:szCs w:val="28"/>
        </w:rPr>
        <w:t>1.10.201</w:t>
      </w:r>
      <w:r w:rsidR="007C72C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составляла </w:t>
      </w:r>
      <w:r w:rsidR="007C72C0">
        <w:rPr>
          <w:sz w:val="28"/>
          <w:szCs w:val="28"/>
        </w:rPr>
        <w:t>342,8</w:t>
      </w:r>
      <w:r>
        <w:rPr>
          <w:sz w:val="28"/>
          <w:szCs w:val="28"/>
        </w:rPr>
        <w:t xml:space="preserve"> млн. рублей.</w:t>
      </w:r>
      <w:r w:rsidR="007C72C0">
        <w:rPr>
          <w:sz w:val="28"/>
          <w:szCs w:val="28"/>
        </w:rPr>
        <w:t xml:space="preserve"> Однако, анализируя структуру недоимки, следует отметить, что значительная доля её нереальна к взысканию.</w:t>
      </w:r>
    </w:p>
    <w:p w:rsidR="00A35ECD" w:rsidRPr="008716CA" w:rsidRDefault="007C72C0" w:rsidP="00FF3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формируется за счет налогов на собственность граждан (налог на имущество физических лиц, земельный налог) уровень собираемости которых зависит от финансового  </w:t>
      </w:r>
      <w:r w:rsidR="004439E2">
        <w:rPr>
          <w:sz w:val="28"/>
          <w:szCs w:val="28"/>
        </w:rPr>
        <w:t xml:space="preserve"> положения налогоплательщика и соизмеримости начисленных сумм налогов его текущему доходу. </w:t>
      </w:r>
    </w:p>
    <w:p w:rsidR="008716CA" w:rsidRPr="008716CA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>В</w:t>
      </w:r>
      <w:r w:rsidR="00A35ECD">
        <w:rPr>
          <w:sz w:val="28"/>
          <w:szCs w:val="28"/>
        </w:rPr>
        <w:t xml:space="preserve"> расходной части</w:t>
      </w:r>
      <w:r w:rsidRPr="008716CA">
        <w:rPr>
          <w:sz w:val="28"/>
          <w:szCs w:val="28"/>
        </w:rPr>
        <w:t xml:space="preserve"> бюджет</w:t>
      </w:r>
      <w:r w:rsidR="00A35ECD">
        <w:rPr>
          <w:sz w:val="28"/>
          <w:szCs w:val="28"/>
        </w:rPr>
        <w:t xml:space="preserve">а </w:t>
      </w:r>
      <w:r w:rsidRPr="008716CA">
        <w:rPr>
          <w:sz w:val="28"/>
          <w:szCs w:val="28"/>
        </w:rPr>
        <w:t>города на 201</w:t>
      </w:r>
      <w:r w:rsidR="004439E2">
        <w:rPr>
          <w:sz w:val="28"/>
          <w:szCs w:val="28"/>
        </w:rPr>
        <w:t>9</w:t>
      </w:r>
      <w:r w:rsidRPr="008716CA">
        <w:rPr>
          <w:sz w:val="28"/>
          <w:szCs w:val="28"/>
        </w:rPr>
        <w:t xml:space="preserve"> год и на плановый период 20</w:t>
      </w:r>
      <w:r w:rsidR="004439E2">
        <w:rPr>
          <w:sz w:val="28"/>
          <w:szCs w:val="28"/>
        </w:rPr>
        <w:t>20</w:t>
      </w:r>
      <w:r w:rsidRPr="008716CA">
        <w:rPr>
          <w:sz w:val="28"/>
          <w:szCs w:val="28"/>
        </w:rPr>
        <w:t xml:space="preserve"> и 202</w:t>
      </w:r>
      <w:r w:rsidR="004439E2">
        <w:rPr>
          <w:sz w:val="28"/>
          <w:szCs w:val="28"/>
        </w:rPr>
        <w:t>1</w:t>
      </w:r>
      <w:r w:rsidRPr="008716CA">
        <w:rPr>
          <w:sz w:val="28"/>
          <w:szCs w:val="28"/>
        </w:rPr>
        <w:t xml:space="preserve"> годов сохранены социальные приоритеты. Доля средств, направляемых в с</w:t>
      </w:r>
      <w:r w:rsidR="009A203A">
        <w:rPr>
          <w:sz w:val="28"/>
          <w:szCs w:val="28"/>
        </w:rPr>
        <w:t>оциально-культурную сферу в 201</w:t>
      </w:r>
      <w:r w:rsidR="004439E2">
        <w:rPr>
          <w:sz w:val="28"/>
          <w:szCs w:val="28"/>
        </w:rPr>
        <w:t>9</w:t>
      </w:r>
      <w:r w:rsidRPr="008716CA">
        <w:rPr>
          <w:sz w:val="28"/>
          <w:szCs w:val="28"/>
        </w:rPr>
        <w:t xml:space="preserve"> году</w:t>
      </w:r>
      <w:r w:rsidR="00FF3BA8">
        <w:rPr>
          <w:sz w:val="28"/>
          <w:szCs w:val="28"/>
        </w:rPr>
        <w:t>,</w:t>
      </w:r>
      <w:r w:rsidRPr="008716CA">
        <w:rPr>
          <w:sz w:val="28"/>
          <w:szCs w:val="28"/>
        </w:rPr>
        <w:t xml:space="preserve"> составит </w:t>
      </w:r>
      <w:r w:rsidR="00F062ED">
        <w:rPr>
          <w:sz w:val="28"/>
          <w:szCs w:val="28"/>
        </w:rPr>
        <w:t>63,6 процента</w:t>
      </w:r>
      <w:r w:rsidRPr="008716CA">
        <w:rPr>
          <w:sz w:val="28"/>
          <w:szCs w:val="28"/>
        </w:rPr>
        <w:t xml:space="preserve"> общего объема расходов.</w:t>
      </w:r>
    </w:p>
    <w:p w:rsidR="00F062ED" w:rsidRPr="00EE7021" w:rsidRDefault="008716CA" w:rsidP="00F062ED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8716CA">
        <w:rPr>
          <w:sz w:val="28"/>
          <w:szCs w:val="28"/>
        </w:rPr>
        <w:t xml:space="preserve">Доля программных расходов </w:t>
      </w:r>
      <w:r w:rsidR="00FF3BA8">
        <w:rPr>
          <w:sz w:val="28"/>
          <w:szCs w:val="28"/>
        </w:rPr>
        <w:t>запланирована</w:t>
      </w:r>
      <w:r w:rsidRPr="008716CA">
        <w:rPr>
          <w:sz w:val="28"/>
          <w:szCs w:val="28"/>
        </w:rPr>
        <w:t xml:space="preserve"> в 201</w:t>
      </w:r>
      <w:r w:rsidR="004439E2">
        <w:rPr>
          <w:sz w:val="28"/>
          <w:szCs w:val="28"/>
        </w:rPr>
        <w:t>9</w:t>
      </w:r>
      <w:r w:rsidRPr="008716CA">
        <w:rPr>
          <w:sz w:val="28"/>
          <w:szCs w:val="28"/>
        </w:rPr>
        <w:t xml:space="preserve"> году</w:t>
      </w:r>
      <w:r w:rsidR="00FF3BA8">
        <w:rPr>
          <w:sz w:val="28"/>
          <w:szCs w:val="28"/>
        </w:rPr>
        <w:t xml:space="preserve"> на уровне</w:t>
      </w:r>
      <w:r w:rsidRPr="008716CA">
        <w:rPr>
          <w:sz w:val="28"/>
          <w:szCs w:val="28"/>
        </w:rPr>
        <w:t xml:space="preserve"> 9</w:t>
      </w:r>
      <w:r w:rsidR="004439E2">
        <w:rPr>
          <w:sz w:val="28"/>
          <w:szCs w:val="28"/>
        </w:rPr>
        <w:t>6,4</w:t>
      </w:r>
      <w:r w:rsidRPr="008716CA">
        <w:rPr>
          <w:sz w:val="28"/>
          <w:szCs w:val="28"/>
        </w:rPr>
        <w:t xml:space="preserve"> процент</w:t>
      </w:r>
      <w:r w:rsidR="006F66F0">
        <w:rPr>
          <w:sz w:val="28"/>
          <w:szCs w:val="28"/>
        </w:rPr>
        <w:t>а</w:t>
      </w:r>
      <w:r w:rsidRPr="008716CA">
        <w:rPr>
          <w:sz w:val="28"/>
          <w:szCs w:val="28"/>
        </w:rPr>
        <w:t>.</w:t>
      </w:r>
      <w:r w:rsidR="00F062ED" w:rsidRPr="00F062ED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F062ED" w:rsidRPr="00F062ED">
        <w:rPr>
          <w:color w:val="000000" w:themeColor="text1"/>
          <w:sz w:val="28"/>
          <w:szCs w:val="28"/>
        </w:rPr>
        <w:t xml:space="preserve">В целях обеспечения интеграции муниципальных программ города Липецка с положениями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разработанными в соответствии с ним национальными проектами,  в </w:t>
      </w:r>
      <w:r w:rsidR="00F062ED" w:rsidRPr="00F062ED">
        <w:rPr>
          <w:color w:val="000000" w:themeColor="text1"/>
          <w:sz w:val="28"/>
          <w:szCs w:val="28"/>
          <w:lang w:val="en-US"/>
        </w:rPr>
        <w:t>IV</w:t>
      </w:r>
      <w:r w:rsidR="00F062ED" w:rsidRPr="00F062ED">
        <w:rPr>
          <w:color w:val="000000" w:themeColor="text1"/>
          <w:sz w:val="28"/>
          <w:szCs w:val="28"/>
        </w:rPr>
        <w:t xml:space="preserve"> квартале  текущего года в муниципальные программы внесены изменения, позволяющие создавать необходимые условия для реализации возложенных Указом задач</w:t>
      </w:r>
      <w:r w:rsidR="00F062ED" w:rsidRPr="00EE7021">
        <w:rPr>
          <w:i/>
          <w:color w:val="000000" w:themeColor="text1"/>
          <w:sz w:val="28"/>
          <w:szCs w:val="28"/>
        </w:rPr>
        <w:t>.</w:t>
      </w:r>
      <w:proofErr w:type="gramEnd"/>
    </w:p>
    <w:p w:rsidR="004439E2" w:rsidRDefault="008716CA" w:rsidP="008716C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>Опираясь на результаты проведенной экспертизы проекта бюджета и проведенных контрольных мероприятий,</w:t>
      </w:r>
      <w:r w:rsidR="00FF3BA8">
        <w:rPr>
          <w:sz w:val="28"/>
          <w:szCs w:val="28"/>
        </w:rPr>
        <w:t xml:space="preserve"> </w:t>
      </w:r>
      <w:r w:rsidR="006F66F0">
        <w:rPr>
          <w:sz w:val="28"/>
          <w:szCs w:val="28"/>
        </w:rPr>
        <w:t>С</w:t>
      </w:r>
      <w:r w:rsidR="004439E2">
        <w:rPr>
          <w:sz w:val="28"/>
          <w:szCs w:val="28"/>
        </w:rPr>
        <w:t>четная палата предлагает</w:t>
      </w:r>
      <w:r w:rsidRPr="008716CA">
        <w:rPr>
          <w:sz w:val="28"/>
          <w:szCs w:val="28"/>
        </w:rPr>
        <w:t xml:space="preserve"> Администрации города Липецка продолжить реализацию мероприятий</w:t>
      </w:r>
      <w:r w:rsidR="009A203A">
        <w:rPr>
          <w:sz w:val="28"/>
          <w:szCs w:val="28"/>
        </w:rPr>
        <w:t>,</w:t>
      </w:r>
      <w:r w:rsidRPr="008716CA">
        <w:rPr>
          <w:sz w:val="28"/>
          <w:szCs w:val="28"/>
        </w:rPr>
        <w:t xml:space="preserve"> позволяющих повысить уровень поступления доходов и оптимиз</w:t>
      </w:r>
      <w:r w:rsidR="00FF3BA8">
        <w:rPr>
          <w:sz w:val="28"/>
          <w:szCs w:val="28"/>
        </w:rPr>
        <w:t>ации</w:t>
      </w:r>
      <w:r w:rsidRPr="008716CA">
        <w:rPr>
          <w:sz w:val="28"/>
          <w:szCs w:val="28"/>
        </w:rPr>
        <w:t xml:space="preserve"> расход</w:t>
      </w:r>
      <w:r w:rsidR="00FF3BA8">
        <w:rPr>
          <w:sz w:val="28"/>
          <w:szCs w:val="28"/>
        </w:rPr>
        <w:t xml:space="preserve">ов, </w:t>
      </w:r>
      <w:r w:rsidR="004439E2">
        <w:rPr>
          <w:sz w:val="28"/>
          <w:szCs w:val="28"/>
        </w:rPr>
        <w:t xml:space="preserve">с учетом следующих </w:t>
      </w:r>
      <w:r w:rsidR="00F062ED">
        <w:rPr>
          <w:sz w:val="28"/>
          <w:szCs w:val="28"/>
        </w:rPr>
        <w:t>рекомендаций</w:t>
      </w:r>
      <w:r w:rsidR="00081F1E">
        <w:rPr>
          <w:sz w:val="28"/>
          <w:szCs w:val="28"/>
        </w:rPr>
        <w:t>:</w:t>
      </w:r>
    </w:p>
    <w:p w:rsidR="004439E2" w:rsidRDefault="004439E2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F3BA8">
        <w:rPr>
          <w:sz w:val="28"/>
          <w:szCs w:val="28"/>
        </w:rPr>
        <w:t>ланирование доходных источников осуществлять в соответствии с методиками, разработанными на основании общих требований</w:t>
      </w:r>
      <w:r w:rsidR="00081F1E">
        <w:rPr>
          <w:sz w:val="28"/>
          <w:szCs w:val="28"/>
        </w:rPr>
        <w:t>,</w:t>
      </w:r>
      <w:r w:rsidR="00FF3BA8">
        <w:rPr>
          <w:sz w:val="28"/>
          <w:szCs w:val="28"/>
        </w:rPr>
        <w:t xml:space="preserve"> установленных </w:t>
      </w:r>
      <w:r>
        <w:rPr>
          <w:sz w:val="28"/>
          <w:szCs w:val="28"/>
        </w:rPr>
        <w:t>Правительством РФ.</w:t>
      </w:r>
    </w:p>
    <w:p w:rsidR="004439E2" w:rsidRDefault="004439E2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финансового  года  пересмотреть прогноз поступлений налога на доходы физических лиц, учитывая результаты декларирования и прогноз  поступлений налога на имущество физических лиц по итогам начисленных сумм, исходя из нового порядка определения налоговой базы.</w:t>
      </w:r>
    </w:p>
    <w:p w:rsidR="004439E2" w:rsidRDefault="004439E2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Активизировать работу по выявлению и постановке на кадастровой учет земельных участков</w:t>
      </w:r>
      <w:r w:rsidR="00081F1E">
        <w:rPr>
          <w:sz w:val="28"/>
          <w:szCs w:val="28"/>
        </w:rPr>
        <w:t>,</w:t>
      </w:r>
      <w:r>
        <w:rPr>
          <w:sz w:val="28"/>
          <w:szCs w:val="28"/>
        </w:rPr>
        <w:t xml:space="preserve"> право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которыми не узаконено.</w:t>
      </w:r>
    </w:p>
    <w:p w:rsidR="004439E2" w:rsidRDefault="005970A5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Активизировать меры по взысканию задолженности по неналоговым платежам. Пересмотреть условия договоров аренды муниципального имущества в части установления сроков авансовых платежей  и ужесточения санкций за неуплату (несвоевременную уплату) стоимости аренды.</w:t>
      </w:r>
    </w:p>
    <w:p w:rsidR="005970A5" w:rsidRDefault="005970A5" w:rsidP="0087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Учитывая, что обеспечение жилищных условий является одной из национальных целей развития Российской Федерации до 2024 года, в ходе </w:t>
      </w:r>
      <w:r>
        <w:rPr>
          <w:sz w:val="28"/>
          <w:szCs w:val="28"/>
        </w:rPr>
        <w:lastRenderedPageBreak/>
        <w:t>исполнения бюджета изыскивать возможности увеличения финансирования полномочий в части обеспечения жильем малоимущих граждан.</w:t>
      </w:r>
    </w:p>
    <w:p w:rsidR="005970A5" w:rsidRDefault="005970A5" w:rsidP="008716CA">
      <w:pPr>
        <w:ind w:firstLine="709"/>
        <w:jc w:val="both"/>
        <w:rPr>
          <w:sz w:val="28"/>
          <w:szCs w:val="28"/>
        </w:rPr>
      </w:pPr>
    </w:p>
    <w:p w:rsidR="008716CA" w:rsidRPr="008716CA" w:rsidRDefault="008716CA" w:rsidP="008716CA">
      <w:pPr>
        <w:ind w:firstLine="709"/>
        <w:jc w:val="both"/>
        <w:rPr>
          <w:i/>
          <w:sz w:val="28"/>
          <w:szCs w:val="28"/>
        </w:rPr>
      </w:pPr>
      <w:r w:rsidRPr="008716CA">
        <w:rPr>
          <w:i/>
          <w:sz w:val="28"/>
          <w:szCs w:val="28"/>
        </w:rPr>
        <w:t xml:space="preserve">Счетная палата города Липецка считает, что внесенный на рассмотрение Липецкого городского Совета </w:t>
      </w:r>
      <w:r w:rsidR="006F66F0">
        <w:rPr>
          <w:i/>
          <w:sz w:val="28"/>
          <w:szCs w:val="28"/>
        </w:rPr>
        <w:t xml:space="preserve">депутатов </w:t>
      </w:r>
      <w:r w:rsidRPr="008716CA">
        <w:rPr>
          <w:i/>
          <w:sz w:val="28"/>
          <w:szCs w:val="28"/>
        </w:rPr>
        <w:t>проект бюджета города на 201</w:t>
      </w:r>
      <w:r w:rsidR="005970A5">
        <w:rPr>
          <w:i/>
          <w:sz w:val="28"/>
          <w:szCs w:val="28"/>
        </w:rPr>
        <w:t>9</w:t>
      </w:r>
      <w:r w:rsidRPr="008716CA">
        <w:rPr>
          <w:i/>
          <w:sz w:val="28"/>
          <w:szCs w:val="28"/>
        </w:rPr>
        <w:t xml:space="preserve"> год и на плановый период 20</w:t>
      </w:r>
      <w:r w:rsidR="005970A5">
        <w:rPr>
          <w:i/>
          <w:sz w:val="28"/>
          <w:szCs w:val="28"/>
        </w:rPr>
        <w:t>20</w:t>
      </w:r>
      <w:r w:rsidRPr="008716CA">
        <w:rPr>
          <w:i/>
          <w:sz w:val="28"/>
          <w:szCs w:val="28"/>
        </w:rPr>
        <w:t xml:space="preserve"> и 202</w:t>
      </w:r>
      <w:r w:rsidR="005970A5">
        <w:rPr>
          <w:i/>
          <w:sz w:val="28"/>
          <w:szCs w:val="28"/>
        </w:rPr>
        <w:t>1</w:t>
      </w:r>
      <w:r w:rsidRPr="008716CA">
        <w:rPr>
          <w:i/>
          <w:sz w:val="28"/>
          <w:szCs w:val="28"/>
        </w:rPr>
        <w:t xml:space="preserve"> годов  соответствует нормам бюджетного законодательства</w:t>
      </w:r>
      <w:r w:rsidR="005970A5">
        <w:rPr>
          <w:i/>
          <w:sz w:val="28"/>
          <w:szCs w:val="28"/>
        </w:rPr>
        <w:t xml:space="preserve"> и рекомендует утвердить его в представленных параметрах.</w:t>
      </w:r>
    </w:p>
    <w:p w:rsidR="000322CB" w:rsidRPr="003A44FF" w:rsidRDefault="000322CB" w:rsidP="003A44FF">
      <w:pPr>
        <w:ind w:firstLine="709"/>
        <w:jc w:val="both"/>
        <w:rPr>
          <w:sz w:val="28"/>
          <w:szCs w:val="28"/>
        </w:rPr>
      </w:pPr>
    </w:p>
    <w:p w:rsidR="003A44FF" w:rsidRDefault="003A44FF" w:rsidP="00BD5CC2">
      <w:pPr>
        <w:ind w:firstLine="709"/>
        <w:jc w:val="center"/>
        <w:rPr>
          <w:b/>
          <w:sz w:val="28"/>
          <w:szCs w:val="28"/>
        </w:rPr>
      </w:pPr>
    </w:p>
    <w:p w:rsidR="003A44FF" w:rsidRDefault="003A44FF" w:rsidP="00BD5CC2">
      <w:pPr>
        <w:ind w:firstLine="709"/>
        <w:jc w:val="center"/>
        <w:rPr>
          <w:b/>
          <w:sz w:val="28"/>
          <w:szCs w:val="28"/>
        </w:rPr>
      </w:pPr>
    </w:p>
    <w:p w:rsidR="00D00E21" w:rsidRDefault="00D00E21" w:rsidP="00C625E4">
      <w:pPr>
        <w:rPr>
          <w:b/>
          <w:sz w:val="28"/>
          <w:szCs w:val="28"/>
        </w:rPr>
      </w:pP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Председатель</w:t>
      </w: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Счетной палаты</w:t>
      </w:r>
    </w:p>
    <w:p w:rsidR="00D00E21" w:rsidRPr="00D00E21" w:rsidRDefault="00DC4193" w:rsidP="00D00E21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D00E21" w:rsidRPr="00D00E21">
        <w:rPr>
          <w:sz w:val="28"/>
          <w:szCs w:val="28"/>
        </w:rPr>
        <w:t xml:space="preserve">города Липецка                                                                       М.П. </w:t>
      </w:r>
      <w:proofErr w:type="spellStart"/>
      <w:r w:rsidR="00D00E21" w:rsidRPr="00D00E21">
        <w:rPr>
          <w:sz w:val="28"/>
          <w:szCs w:val="28"/>
        </w:rPr>
        <w:t>Зиборова</w:t>
      </w:r>
      <w:proofErr w:type="spellEnd"/>
    </w:p>
    <w:p w:rsidR="00D00E21" w:rsidRPr="003A44FF" w:rsidRDefault="00D00E21" w:rsidP="00BD5CC2">
      <w:pPr>
        <w:ind w:firstLine="709"/>
        <w:jc w:val="center"/>
        <w:rPr>
          <w:b/>
          <w:sz w:val="28"/>
          <w:szCs w:val="28"/>
        </w:rPr>
      </w:pPr>
    </w:p>
    <w:sectPr w:rsidR="00D00E21" w:rsidRPr="003A44FF" w:rsidSect="00A16B6D">
      <w:headerReference w:type="even" r:id="rId15"/>
      <w:headerReference w:type="default" r:id="rId16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9" w:rsidRDefault="00243389">
      <w:r>
        <w:separator/>
      </w:r>
    </w:p>
  </w:endnote>
  <w:endnote w:type="continuationSeparator" w:id="0">
    <w:p w:rsidR="00243389" w:rsidRDefault="0024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9" w:rsidRDefault="00243389">
      <w:r>
        <w:separator/>
      </w:r>
    </w:p>
  </w:footnote>
  <w:footnote w:type="continuationSeparator" w:id="0">
    <w:p w:rsidR="00243389" w:rsidRDefault="0024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95" w:rsidRDefault="00CE0595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595" w:rsidRDefault="00CE05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95" w:rsidRDefault="00CE0595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0A09">
      <w:rPr>
        <w:rStyle w:val="a6"/>
        <w:noProof/>
      </w:rPr>
      <w:t>2</w:t>
    </w:r>
    <w:r>
      <w:rPr>
        <w:rStyle w:val="a6"/>
      </w:rPr>
      <w:fldChar w:fldCharType="end"/>
    </w:r>
  </w:p>
  <w:p w:rsidR="00CE0595" w:rsidRDefault="00CE05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294"/>
    <w:multiLevelType w:val="hybridMultilevel"/>
    <w:tmpl w:val="4A1C7EEE"/>
    <w:lvl w:ilvl="0" w:tplc="28B8924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1478633E"/>
    <w:multiLevelType w:val="hybridMultilevel"/>
    <w:tmpl w:val="C508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1FD6"/>
    <w:multiLevelType w:val="hybridMultilevel"/>
    <w:tmpl w:val="35F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C18"/>
    <w:multiLevelType w:val="hybridMultilevel"/>
    <w:tmpl w:val="13784C7C"/>
    <w:lvl w:ilvl="0" w:tplc="5B9AA44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A6"/>
    <w:rsid w:val="00001E9D"/>
    <w:rsid w:val="00001ECB"/>
    <w:rsid w:val="000037B3"/>
    <w:rsid w:val="00004E31"/>
    <w:rsid w:val="000055EB"/>
    <w:rsid w:val="00011360"/>
    <w:rsid w:val="00011D49"/>
    <w:rsid w:val="00015273"/>
    <w:rsid w:val="0001534E"/>
    <w:rsid w:val="000155CE"/>
    <w:rsid w:val="00016B1A"/>
    <w:rsid w:val="00020F23"/>
    <w:rsid w:val="00021FA5"/>
    <w:rsid w:val="00022EF8"/>
    <w:rsid w:val="000232C8"/>
    <w:rsid w:val="00023C4D"/>
    <w:rsid w:val="00026442"/>
    <w:rsid w:val="00026AAE"/>
    <w:rsid w:val="00027452"/>
    <w:rsid w:val="000320DE"/>
    <w:rsid w:val="000322CB"/>
    <w:rsid w:val="0003657F"/>
    <w:rsid w:val="00036F78"/>
    <w:rsid w:val="000400B0"/>
    <w:rsid w:val="00042B4E"/>
    <w:rsid w:val="000431E0"/>
    <w:rsid w:val="000432E5"/>
    <w:rsid w:val="000452EB"/>
    <w:rsid w:val="0004585A"/>
    <w:rsid w:val="0004611B"/>
    <w:rsid w:val="00047F55"/>
    <w:rsid w:val="00050A8F"/>
    <w:rsid w:val="00053A19"/>
    <w:rsid w:val="000544B0"/>
    <w:rsid w:val="00054F19"/>
    <w:rsid w:val="00056130"/>
    <w:rsid w:val="000561B4"/>
    <w:rsid w:val="00056B48"/>
    <w:rsid w:val="00057788"/>
    <w:rsid w:val="00063115"/>
    <w:rsid w:val="00063F1F"/>
    <w:rsid w:val="0006590B"/>
    <w:rsid w:val="00065B87"/>
    <w:rsid w:val="000732A1"/>
    <w:rsid w:val="000733CC"/>
    <w:rsid w:val="000733F8"/>
    <w:rsid w:val="00073558"/>
    <w:rsid w:val="000745C7"/>
    <w:rsid w:val="000746B5"/>
    <w:rsid w:val="000747BD"/>
    <w:rsid w:val="000751FF"/>
    <w:rsid w:val="00075798"/>
    <w:rsid w:val="00075BE2"/>
    <w:rsid w:val="00075E24"/>
    <w:rsid w:val="00080870"/>
    <w:rsid w:val="00080C64"/>
    <w:rsid w:val="00081F1E"/>
    <w:rsid w:val="0008311B"/>
    <w:rsid w:val="0008387F"/>
    <w:rsid w:val="000845E3"/>
    <w:rsid w:val="00084BC8"/>
    <w:rsid w:val="00084E11"/>
    <w:rsid w:val="0008632D"/>
    <w:rsid w:val="00087157"/>
    <w:rsid w:val="00090712"/>
    <w:rsid w:val="00090B48"/>
    <w:rsid w:val="0009240B"/>
    <w:rsid w:val="000965E0"/>
    <w:rsid w:val="00096D4C"/>
    <w:rsid w:val="000A0113"/>
    <w:rsid w:val="000A399A"/>
    <w:rsid w:val="000A5509"/>
    <w:rsid w:val="000A7333"/>
    <w:rsid w:val="000B0893"/>
    <w:rsid w:val="000B382D"/>
    <w:rsid w:val="000B3D8D"/>
    <w:rsid w:val="000B4FD7"/>
    <w:rsid w:val="000B5043"/>
    <w:rsid w:val="000B527F"/>
    <w:rsid w:val="000B5981"/>
    <w:rsid w:val="000B5C14"/>
    <w:rsid w:val="000B5C2F"/>
    <w:rsid w:val="000B644C"/>
    <w:rsid w:val="000B66EA"/>
    <w:rsid w:val="000B6E9D"/>
    <w:rsid w:val="000B6FBA"/>
    <w:rsid w:val="000B725B"/>
    <w:rsid w:val="000B7EB0"/>
    <w:rsid w:val="000C01FA"/>
    <w:rsid w:val="000C0B5D"/>
    <w:rsid w:val="000C4190"/>
    <w:rsid w:val="000C4433"/>
    <w:rsid w:val="000C4981"/>
    <w:rsid w:val="000C596D"/>
    <w:rsid w:val="000C7563"/>
    <w:rsid w:val="000C7DBD"/>
    <w:rsid w:val="000D2F98"/>
    <w:rsid w:val="000D456B"/>
    <w:rsid w:val="000D46F4"/>
    <w:rsid w:val="000D5166"/>
    <w:rsid w:val="000D5A30"/>
    <w:rsid w:val="000D6FC4"/>
    <w:rsid w:val="000D7E1D"/>
    <w:rsid w:val="000E2B81"/>
    <w:rsid w:val="000E2F61"/>
    <w:rsid w:val="000E517D"/>
    <w:rsid w:val="000E693D"/>
    <w:rsid w:val="000F0AED"/>
    <w:rsid w:val="000F0B8E"/>
    <w:rsid w:val="000F0CD0"/>
    <w:rsid w:val="000F0E07"/>
    <w:rsid w:val="000F1A61"/>
    <w:rsid w:val="000F1C16"/>
    <w:rsid w:val="000F2403"/>
    <w:rsid w:val="000F5134"/>
    <w:rsid w:val="000F5548"/>
    <w:rsid w:val="000F66A2"/>
    <w:rsid w:val="00100FDA"/>
    <w:rsid w:val="00101251"/>
    <w:rsid w:val="0010364C"/>
    <w:rsid w:val="00104057"/>
    <w:rsid w:val="00104C53"/>
    <w:rsid w:val="00105B62"/>
    <w:rsid w:val="00106321"/>
    <w:rsid w:val="0010780D"/>
    <w:rsid w:val="0010782D"/>
    <w:rsid w:val="00107D97"/>
    <w:rsid w:val="00111F3D"/>
    <w:rsid w:val="0011371F"/>
    <w:rsid w:val="00113FB9"/>
    <w:rsid w:val="0011502A"/>
    <w:rsid w:val="00115509"/>
    <w:rsid w:val="00115763"/>
    <w:rsid w:val="00116DAB"/>
    <w:rsid w:val="001170A0"/>
    <w:rsid w:val="00120958"/>
    <w:rsid w:val="0012246F"/>
    <w:rsid w:val="00123A56"/>
    <w:rsid w:val="001277FF"/>
    <w:rsid w:val="00127EEF"/>
    <w:rsid w:val="00131A9B"/>
    <w:rsid w:val="001322D5"/>
    <w:rsid w:val="00132658"/>
    <w:rsid w:val="00133011"/>
    <w:rsid w:val="00133186"/>
    <w:rsid w:val="00134A86"/>
    <w:rsid w:val="00134C45"/>
    <w:rsid w:val="00135CDD"/>
    <w:rsid w:val="00136632"/>
    <w:rsid w:val="001425AF"/>
    <w:rsid w:val="001425E1"/>
    <w:rsid w:val="00142C1C"/>
    <w:rsid w:val="0014474A"/>
    <w:rsid w:val="001451A4"/>
    <w:rsid w:val="00145670"/>
    <w:rsid w:val="001465BC"/>
    <w:rsid w:val="0014692C"/>
    <w:rsid w:val="00146F52"/>
    <w:rsid w:val="00150EE7"/>
    <w:rsid w:val="00151023"/>
    <w:rsid w:val="001512DB"/>
    <w:rsid w:val="001519FB"/>
    <w:rsid w:val="0015321C"/>
    <w:rsid w:val="001536EE"/>
    <w:rsid w:val="0015568B"/>
    <w:rsid w:val="001558EB"/>
    <w:rsid w:val="00155A31"/>
    <w:rsid w:val="00155C0C"/>
    <w:rsid w:val="00157B19"/>
    <w:rsid w:val="00160570"/>
    <w:rsid w:val="001608CA"/>
    <w:rsid w:val="00160E69"/>
    <w:rsid w:val="001622A5"/>
    <w:rsid w:val="00163892"/>
    <w:rsid w:val="001650F3"/>
    <w:rsid w:val="0017096C"/>
    <w:rsid w:val="001716E1"/>
    <w:rsid w:val="00171E6D"/>
    <w:rsid w:val="001735D7"/>
    <w:rsid w:val="00173CFC"/>
    <w:rsid w:val="001761DA"/>
    <w:rsid w:val="00180659"/>
    <w:rsid w:val="00180753"/>
    <w:rsid w:val="00180ACE"/>
    <w:rsid w:val="00181D58"/>
    <w:rsid w:val="00182B44"/>
    <w:rsid w:val="00185994"/>
    <w:rsid w:val="00186526"/>
    <w:rsid w:val="00186C5F"/>
    <w:rsid w:val="001876B4"/>
    <w:rsid w:val="00190A51"/>
    <w:rsid w:val="00192428"/>
    <w:rsid w:val="0019313F"/>
    <w:rsid w:val="00194FC3"/>
    <w:rsid w:val="001953C6"/>
    <w:rsid w:val="00196AAE"/>
    <w:rsid w:val="001A0811"/>
    <w:rsid w:val="001A155F"/>
    <w:rsid w:val="001A24FB"/>
    <w:rsid w:val="001A3572"/>
    <w:rsid w:val="001A3D99"/>
    <w:rsid w:val="001A48C3"/>
    <w:rsid w:val="001A5A8E"/>
    <w:rsid w:val="001A60FA"/>
    <w:rsid w:val="001A62F7"/>
    <w:rsid w:val="001B0A5E"/>
    <w:rsid w:val="001B2615"/>
    <w:rsid w:val="001B3991"/>
    <w:rsid w:val="001B3B94"/>
    <w:rsid w:val="001B4CEA"/>
    <w:rsid w:val="001C0BEF"/>
    <w:rsid w:val="001C11B7"/>
    <w:rsid w:val="001C1B3A"/>
    <w:rsid w:val="001C23B1"/>
    <w:rsid w:val="001C794C"/>
    <w:rsid w:val="001D1D03"/>
    <w:rsid w:val="001D6A80"/>
    <w:rsid w:val="001D7627"/>
    <w:rsid w:val="001E007D"/>
    <w:rsid w:val="001E0BC9"/>
    <w:rsid w:val="001E1369"/>
    <w:rsid w:val="001E1836"/>
    <w:rsid w:val="001E3AE3"/>
    <w:rsid w:val="001E3B2E"/>
    <w:rsid w:val="001E406D"/>
    <w:rsid w:val="001E5C74"/>
    <w:rsid w:val="001E5EA0"/>
    <w:rsid w:val="001F1EFC"/>
    <w:rsid w:val="001F2747"/>
    <w:rsid w:val="001F2925"/>
    <w:rsid w:val="001F35D8"/>
    <w:rsid w:val="001F40DB"/>
    <w:rsid w:val="001F4853"/>
    <w:rsid w:val="001F492D"/>
    <w:rsid w:val="001F698E"/>
    <w:rsid w:val="001F7675"/>
    <w:rsid w:val="00200375"/>
    <w:rsid w:val="00201EE3"/>
    <w:rsid w:val="00201FEE"/>
    <w:rsid w:val="00202B65"/>
    <w:rsid w:val="0020304E"/>
    <w:rsid w:val="00203581"/>
    <w:rsid w:val="00205400"/>
    <w:rsid w:val="002078B4"/>
    <w:rsid w:val="00210A79"/>
    <w:rsid w:val="00211E27"/>
    <w:rsid w:val="00212782"/>
    <w:rsid w:val="002128DF"/>
    <w:rsid w:val="002137B3"/>
    <w:rsid w:val="00216591"/>
    <w:rsid w:val="0021697A"/>
    <w:rsid w:val="0022050A"/>
    <w:rsid w:val="00220F2F"/>
    <w:rsid w:val="00222D55"/>
    <w:rsid w:val="0022390D"/>
    <w:rsid w:val="00223EF9"/>
    <w:rsid w:val="00224DED"/>
    <w:rsid w:val="00225EB5"/>
    <w:rsid w:val="0022794F"/>
    <w:rsid w:val="0023022E"/>
    <w:rsid w:val="00230D00"/>
    <w:rsid w:val="002311C8"/>
    <w:rsid w:val="0023198B"/>
    <w:rsid w:val="00232F6F"/>
    <w:rsid w:val="0023351C"/>
    <w:rsid w:val="002347D2"/>
    <w:rsid w:val="002364F3"/>
    <w:rsid w:val="0023769D"/>
    <w:rsid w:val="00241C4D"/>
    <w:rsid w:val="00242B65"/>
    <w:rsid w:val="002430D3"/>
    <w:rsid w:val="00243389"/>
    <w:rsid w:val="00243A4D"/>
    <w:rsid w:val="002441A5"/>
    <w:rsid w:val="00244934"/>
    <w:rsid w:val="00245E8C"/>
    <w:rsid w:val="0024614B"/>
    <w:rsid w:val="002507F5"/>
    <w:rsid w:val="00251D4A"/>
    <w:rsid w:val="00251DE6"/>
    <w:rsid w:val="00252045"/>
    <w:rsid w:val="0025263B"/>
    <w:rsid w:val="00253CD2"/>
    <w:rsid w:val="00254135"/>
    <w:rsid w:val="00254ABA"/>
    <w:rsid w:val="002565EE"/>
    <w:rsid w:val="0025787F"/>
    <w:rsid w:val="00261563"/>
    <w:rsid w:val="0026230C"/>
    <w:rsid w:val="00262A9E"/>
    <w:rsid w:val="00262D08"/>
    <w:rsid w:val="0026632B"/>
    <w:rsid w:val="00267905"/>
    <w:rsid w:val="00267D20"/>
    <w:rsid w:val="00270558"/>
    <w:rsid w:val="002707C8"/>
    <w:rsid w:val="0027129B"/>
    <w:rsid w:val="00271473"/>
    <w:rsid w:val="0027194B"/>
    <w:rsid w:val="00272D03"/>
    <w:rsid w:val="0027471F"/>
    <w:rsid w:val="0027486A"/>
    <w:rsid w:val="0027561C"/>
    <w:rsid w:val="00276954"/>
    <w:rsid w:val="00277B16"/>
    <w:rsid w:val="002826DB"/>
    <w:rsid w:val="00282868"/>
    <w:rsid w:val="002841BC"/>
    <w:rsid w:val="002847D8"/>
    <w:rsid w:val="00285C80"/>
    <w:rsid w:val="002863DF"/>
    <w:rsid w:val="00287780"/>
    <w:rsid w:val="00287B5D"/>
    <w:rsid w:val="002904A2"/>
    <w:rsid w:val="00291BE4"/>
    <w:rsid w:val="00291FBB"/>
    <w:rsid w:val="00292B87"/>
    <w:rsid w:val="00293CE1"/>
    <w:rsid w:val="00293F1E"/>
    <w:rsid w:val="00294712"/>
    <w:rsid w:val="00294BDE"/>
    <w:rsid w:val="00294DC5"/>
    <w:rsid w:val="00294E96"/>
    <w:rsid w:val="002965C2"/>
    <w:rsid w:val="00296A7A"/>
    <w:rsid w:val="00296D1F"/>
    <w:rsid w:val="002A0CB8"/>
    <w:rsid w:val="002A389D"/>
    <w:rsid w:val="002A5685"/>
    <w:rsid w:val="002A71F3"/>
    <w:rsid w:val="002A7F9D"/>
    <w:rsid w:val="002B0293"/>
    <w:rsid w:val="002B04DE"/>
    <w:rsid w:val="002B12B8"/>
    <w:rsid w:val="002B1984"/>
    <w:rsid w:val="002B1BCA"/>
    <w:rsid w:val="002B2C1B"/>
    <w:rsid w:val="002B50EF"/>
    <w:rsid w:val="002B58BF"/>
    <w:rsid w:val="002B623C"/>
    <w:rsid w:val="002B6548"/>
    <w:rsid w:val="002B68E7"/>
    <w:rsid w:val="002B6933"/>
    <w:rsid w:val="002B7C64"/>
    <w:rsid w:val="002C1B1B"/>
    <w:rsid w:val="002C1E34"/>
    <w:rsid w:val="002C41B9"/>
    <w:rsid w:val="002D040D"/>
    <w:rsid w:val="002D20E4"/>
    <w:rsid w:val="002D3564"/>
    <w:rsid w:val="002D36AA"/>
    <w:rsid w:val="002D43D9"/>
    <w:rsid w:val="002D5C90"/>
    <w:rsid w:val="002E0822"/>
    <w:rsid w:val="002E109E"/>
    <w:rsid w:val="002E14B3"/>
    <w:rsid w:val="002E174B"/>
    <w:rsid w:val="002E2205"/>
    <w:rsid w:val="002E6B01"/>
    <w:rsid w:val="002F0D1C"/>
    <w:rsid w:val="002F1215"/>
    <w:rsid w:val="002F1C31"/>
    <w:rsid w:val="002F23FA"/>
    <w:rsid w:val="002F2AAB"/>
    <w:rsid w:val="003004AB"/>
    <w:rsid w:val="00300E7D"/>
    <w:rsid w:val="00301734"/>
    <w:rsid w:val="003026F7"/>
    <w:rsid w:val="0030280B"/>
    <w:rsid w:val="00303B07"/>
    <w:rsid w:val="00306E19"/>
    <w:rsid w:val="0030779B"/>
    <w:rsid w:val="00310EAB"/>
    <w:rsid w:val="003112C7"/>
    <w:rsid w:val="00312675"/>
    <w:rsid w:val="00312DE9"/>
    <w:rsid w:val="00312F56"/>
    <w:rsid w:val="00317808"/>
    <w:rsid w:val="0032040A"/>
    <w:rsid w:val="00320825"/>
    <w:rsid w:val="00322ED4"/>
    <w:rsid w:val="00326C5A"/>
    <w:rsid w:val="00331B06"/>
    <w:rsid w:val="00331BD8"/>
    <w:rsid w:val="00333388"/>
    <w:rsid w:val="00333900"/>
    <w:rsid w:val="0033471A"/>
    <w:rsid w:val="003349CA"/>
    <w:rsid w:val="00335356"/>
    <w:rsid w:val="00336B45"/>
    <w:rsid w:val="003375E1"/>
    <w:rsid w:val="00337AB1"/>
    <w:rsid w:val="003401A1"/>
    <w:rsid w:val="00340397"/>
    <w:rsid w:val="00340769"/>
    <w:rsid w:val="00340970"/>
    <w:rsid w:val="00341615"/>
    <w:rsid w:val="00342EDC"/>
    <w:rsid w:val="00343C2E"/>
    <w:rsid w:val="00344918"/>
    <w:rsid w:val="00347CC4"/>
    <w:rsid w:val="003519BD"/>
    <w:rsid w:val="00352832"/>
    <w:rsid w:val="00353756"/>
    <w:rsid w:val="00353F52"/>
    <w:rsid w:val="00354547"/>
    <w:rsid w:val="0035479A"/>
    <w:rsid w:val="00354B10"/>
    <w:rsid w:val="00356A53"/>
    <w:rsid w:val="00357CBB"/>
    <w:rsid w:val="00360269"/>
    <w:rsid w:val="00360708"/>
    <w:rsid w:val="00360BC1"/>
    <w:rsid w:val="00366141"/>
    <w:rsid w:val="00370922"/>
    <w:rsid w:val="00370C53"/>
    <w:rsid w:val="003714A5"/>
    <w:rsid w:val="00372658"/>
    <w:rsid w:val="00372E55"/>
    <w:rsid w:val="003731D8"/>
    <w:rsid w:val="00373C51"/>
    <w:rsid w:val="00375681"/>
    <w:rsid w:val="00375E64"/>
    <w:rsid w:val="0037795A"/>
    <w:rsid w:val="00380C88"/>
    <w:rsid w:val="00381C1F"/>
    <w:rsid w:val="00382616"/>
    <w:rsid w:val="00382F25"/>
    <w:rsid w:val="0038313B"/>
    <w:rsid w:val="00383DEF"/>
    <w:rsid w:val="003845BD"/>
    <w:rsid w:val="00385149"/>
    <w:rsid w:val="00385ABF"/>
    <w:rsid w:val="00385C13"/>
    <w:rsid w:val="00385D3D"/>
    <w:rsid w:val="003863C9"/>
    <w:rsid w:val="003901A6"/>
    <w:rsid w:val="0039186E"/>
    <w:rsid w:val="00392206"/>
    <w:rsid w:val="0039304A"/>
    <w:rsid w:val="00394039"/>
    <w:rsid w:val="00395FC2"/>
    <w:rsid w:val="00397669"/>
    <w:rsid w:val="003A009B"/>
    <w:rsid w:val="003A0206"/>
    <w:rsid w:val="003A25BE"/>
    <w:rsid w:val="003A3AD5"/>
    <w:rsid w:val="003A44FF"/>
    <w:rsid w:val="003A6B7E"/>
    <w:rsid w:val="003A6D6B"/>
    <w:rsid w:val="003B33DF"/>
    <w:rsid w:val="003B4661"/>
    <w:rsid w:val="003B4B49"/>
    <w:rsid w:val="003B5960"/>
    <w:rsid w:val="003C0AAC"/>
    <w:rsid w:val="003C5042"/>
    <w:rsid w:val="003C5711"/>
    <w:rsid w:val="003C5A50"/>
    <w:rsid w:val="003C6D5A"/>
    <w:rsid w:val="003C74D4"/>
    <w:rsid w:val="003D02DE"/>
    <w:rsid w:val="003D0DD4"/>
    <w:rsid w:val="003D0DE7"/>
    <w:rsid w:val="003D26F5"/>
    <w:rsid w:val="003D28BB"/>
    <w:rsid w:val="003D3687"/>
    <w:rsid w:val="003D3B3F"/>
    <w:rsid w:val="003D46CA"/>
    <w:rsid w:val="003D583C"/>
    <w:rsid w:val="003D59C5"/>
    <w:rsid w:val="003D5B90"/>
    <w:rsid w:val="003D696F"/>
    <w:rsid w:val="003D7A8F"/>
    <w:rsid w:val="003E00A0"/>
    <w:rsid w:val="003E092D"/>
    <w:rsid w:val="003E1363"/>
    <w:rsid w:val="003E1720"/>
    <w:rsid w:val="003E2543"/>
    <w:rsid w:val="003E5400"/>
    <w:rsid w:val="003E7263"/>
    <w:rsid w:val="003F01C8"/>
    <w:rsid w:val="003F1FFC"/>
    <w:rsid w:val="003F4104"/>
    <w:rsid w:val="003F487D"/>
    <w:rsid w:val="003F4A81"/>
    <w:rsid w:val="003F4C7C"/>
    <w:rsid w:val="003F60A1"/>
    <w:rsid w:val="003F7847"/>
    <w:rsid w:val="004004C9"/>
    <w:rsid w:val="00401108"/>
    <w:rsid w:val="00405196"/>
    <w:rsid w:val="00406A85"/>
    <w:rsid w:val="00406C24"/>
    <w:rsid w:val="004101F9"/>
    <w:rsid w:val="004119DD"/>
    <w:rsid w:val="00411A5F"/>
    <w:rsid w:val="0041219F"/>
    <w:rsid w:val="00421108"/>
    <w:rsid w:val="00421980"/>
    <w:rsid w:val="00422D94"/>
    <w:rsid w:val="00423E78"/>
    <w:rsid w:val="00425293"/>
    <w:rsid w:val="004257BA"/>
    <w:rsid w:val="0042663B"/>
    <w:rsid w:val="00426F63"/>
    <w:rsid w:val="004275C7"/>
    <w:rsid w:val="00430A87"/>
    <w:rsid w:val="00431B37"/>
    <w:rsid w:val="00431F99"/>
    <w:rsid w:val="00434320"/>
    <w:rsid w:val="004362D4"/>
    <w:rsid w:val="004376FA"/>
    <w:rsid w:val="00440213"/>
    <w:rsid w:val="0044134F"/>
    <w:rsid w:val="00441CDC"/>
    <w:rsid w:val="0044235E"/>
    <w:rsid w:val="004439E2"/>
    <w:rsid w:val="004459BD"/>
    <w:rsid w:val="00447305"/>
    <w:rsid w:val="0044777C"/>
    <w:rsid w:val="0044780B"/>
    <w:rsid w:val="00447992"/>
    <w:rsid w:val="00447A20"/>
    <w:rsid w:val="00447C29"/>
    <w:rsid w:val="004502D1"/>
    <w:rsid w:val="004504CD"/>
    <w:rsid w:val="004521C1"/>
    <w:rsid w:val="0045273F"/>
    <w:rsid w:val="00454BCB"/>
    <w:rsid w:val="00456D70"/>
    <w:rsid w:val="00456E43"/>
    <w:rsid w:val="00465257"/>
    <w:rsid w:val="004652B0"/>
    <w:rsid w:val="00465751"/>
    <w:rsid w:val="00465D46"/>
    <w:rsid w:val="00466F74"/>
    <w:rsid w:val="00470AAC"/>
    <w:rsid w:val="00471669"/>
    <w:rsid w:val="0047311B"/>
    <w:rsid w:val="00474EA6"/>
    <w:rsid w:val="004752EC"/>
    <w:rsid w:val="004779DC"/>
    <w:rsid w:val="00480181"/>
    <w:rsid w:val="0048037B"/>
    <w:rsid w:val="00484BB2"/>
    <w:rsid w:val="00484C92"/>
    <w:rsid w:val="00484FC8"/>
    <w:rsid w:val="00486D72"/>
    <w:rsid w:val="00490B19"/>
    <w:rsid w:val="00491264"/>
    <w:rsid w:val="00491508"/>
    <w:rsid w:val="004921D8"/>
    <w:rsid w:val="004949CD"/>
    <w:rsid w:val="00497190"/>
    <w:rsid w:val="004A10D1"/>
    <w:rsid w:val="004A1D7B"/>
    <w:rsid w:val="004A2A33"/>
    <w:rsid w:val="004A3B31"/>
    <w:rsid w:val="004A3E56"/>
    <w:rsid w:val="004A4DD7"/>
    <w:rsid w:val="004A558F"/>
    <w:rsid w:val="004A5FBE"/>
    <w:rsid w:val="004A60F2"/>
    <w:rsid w:val="004A70D8"/>
    <w:rsid w:val="004A71AA"/>
    <w:rsid w:val="004A74CC"/>
    <w:rsid w:val="004B01D0"/>
    <w:rsid w:val="004B5145"/>
    <w:rsid w:val="004B5707"/>
    <w:rsid w:val="004B69CF"/>
    <w:rsid w:val="004B6E12"/>
    <w:rsid w:val="004B73C5"/>
    <w:rsid w:val="004B7EFB"/>
    <w:rsid w:val="004C001D"/>
    <w:rsid w:val="004C0137"/>
    <w:rsid w:val="004C02BD"/>
    <w:rsid w:val="004C0B98"/>
    <w:rsid w:val="004C11E2"/>
    <w:rsid w:val="004C3BF7"/>
    <w:rsid w:val="004C5063"/>
    <w:rsid w:val="004D05E7"/>
    <w:rsid w:val="004D0B98"/>
    <w:rsid w:val="004D0E1E"/>
    <w:rsid w:val="004D0FC7"/>
    <w:rsid w:val="004D11D3"/>
    <w:rsid w:val="004D2C2B"/>
    <w:rsid w:val="004D2D39"/>
    <w:rsid w:val="004D3972"/>
    <w:rsid w:val="004D3EFF"/>
    <w:rsid w:val="004D3F0A"/>
    <w:rsid w:val="004D5483"/>
    <w:rsid w:val="004D7579"/>
    <w:rsid w:val="004D7D6C"/>
    <w:rsid w:val="004E16B2"/>
    <w:rsid w:val="004E294D"/>
    <w:rsid w:val="004E2AB5"/>
    <w:rsid w:val="004E3DD5"/>
    <w:rsid w:val="004E7C4D"/>
    <w:rsid w:val="004E7D6A"/>
    <w:rsid w:val="004F02D9"/>
    <w:rsid w:val="004F046D"/>
    <w:rsid w:val="004F0E2D"/>
    <w:rsid w:val="004F2289"/>
    <w:rsid w:val="004F501A"/>
    <w:rsid w:val="004F6579"/>
    <w:rsid w:val="004F727E"/>
    <w:rsid w:val="004F779D"/>
    <w:rsid w:val="0050009F"/>
    <w:rsid w:val="00502280"/>
    <w:rsid w:val="00502D2F"/>
    <w:rsid w:val="00503637"/>
    <w:rsid w:val="0050450C"/>
    <w:rsid w:val="005045E9"/>
    <w:rsid w:val="00504965"/>
    <w:rsid w:val="00506064"/>
    <w:rsid w:val="00506BA6"/>
    <w:rsid w:val="0051050D"/>
    <w:rsid w:val="00511C04"/>
    <w:rsid w:val="00514FFE"/>
    <w:rsid w:val="00515817"/>
    <w:rsid w:val="00515992"/>
    <w:rsid w:val="005208E7"/>
    <w:rsid w:val="00520F97"/>
    <w:rsid w:val="00521FC3"/>
    <w:rsid w:val="00522677"/>
    <w:rsid w:val="00522ABD"/>
    <w:rsid w:val="0052379A"/>
    <w:rsid w:val="00524904"/>
    <w:rsid w:val="0052703F"/>
    <w:rsid w:val="005278B8"/>
    <w:rsid w:val="00527C47"/>
    <w:rsid w:val="005306CF"/>
    <w:rsid w:val="005340BC"/>
    <w:rsid w:val="00534E6E"/>
    <w:rsid w:val="005356B5"/>
    <w:rsid w:val="00537E3A"/>
    <w:rsid w:val="0054021F"/>
    <w:rsid w:val="00540BBF"/>
    <w:rsid w:val="00541306"/>
    <w:rsid w:val="00541395"/>
    <w:rsid w:val="00542F12"/>
    <w:rsid w:val="00542F37"/>
    <w:rsid w:val="005438DB"/>
    <w:rsid w:val="00544CF9"/>
    <w:rsid w:val="00545277"/>
    <w:rsid w:val="005456B5"/>
    <w:rsid w:val="0054772B"/>
    <w:rsid w:val="0054785C"/>
    <w:rsid w:val="00547FA6"/>
    <w:rsid w:val="00550B08"/>
    <w:rsid w:val="0055124E"/>
    <w:rsid w:val="00552CD4"/>
    <w:rsid w:val="005544BB"/>
    <w:rsid w:val="005545E6"/>
    <w:rsid w:val="00555766"/>
    <w:rsid w:val="005563BD"/>
    <w:rsid w:val="00556EBF"/>
    <w:rsid w:val="00557A0A"/>
    <w:rsid w:val="0056161B"/>
    <w:rsid w:val="00562CB5"/>
    <w:rsid w:val="00562F4F"/>
    <w:rsid w:val="005634F9"/>
    <w:rsid w:val="00563BD5"/>
    <w:rsid w:val="00563E6B"/>
    <w:rsid w:val="0056442C"/>
    <w:rsid w:val="005655F7"/>
    <w:rsid w:val="00566585"/>
    <w:rsid w:val="0057039C"/>
    <w:rsid w:val="0057063D"/>
    <w:rsid w:val="00570A0B"/>
    <w:rsid w:val="00571259"/>
    <w:rsid w:val="005726D9"/>
    <w:rsid w:val="00576BA3"/>
    <w:rsid w:val="005772E4"/>
    <w:rsid w:val="005777F5"/>
    <w:rsid w:val="005818FB"/>
    <w:rsid w:val="00581AB7"/>
    <w:rsid w:val="0058248E"/>
    <w:rsid w:val="00583BA5"/>
    <w:rsid w:val="00590104"/>
    <w:rsid w:val="00590E5A"/>
    <w:rsid w:val="0059149B"/>
    <w:rsid w:val="00591BBB"/>
    <w:rsid w:val="00592310"/>
    <w:rsid w:val="005925B6"/>
    <w:rsid w:val="00593CBE"/>
    <w:rsid w:val="00596C10"/>
    <w:rsid w:val="00596C64"/>
    <w:rsid w:val="00596D02"/>
    <w:rsid w:val="005970A5"/>
    <w:rsid w:val="005A07A4"/>
    <w:rsid w:val="005A38A1"/>
    <w:rsid w:val="005A48BC"/>
    <w:rsid w:val="005A72F6"/>
    <w:rsid w:val="005A73BB"/>
    <w:rsid w:val="005B07ED"/>
    <w:rsid w:val="005B0D59"/>
    <w:rsid w:val="005B3112"/>
    <w:rsid w:val="005B41D3"/>
    <w:rsid w:val="005B43A7"/>
    <w:rsid w:val="005B536C"/>
    <w:rsid w:val="005B5F1A"/>
    <w:rsid w:val="005B7193"/>
    <w:rsid w:val="005C06D3"/>
    <w:rsid w:val="005C0EBA"/>
    <w:rsid w:val="005C21CA"/>
    <w:rsid w:val="005C2726"/>
    <w:rsid w:val="005C36D1"/>
    <w:rsid w:val="005C7594"/>
    <w:rsid w:val="005D03E4"/>
    <w:rsid w:val="005D0796"/>
    <w:rsid w:val="005D085B"/>
    <w:rsid w:val="005D0A06"/>
    <w:rsid w:val="005D116B"/>
    <w:rsid w:val="005D1C58"/>
    <w:rsid w:val="005D2CC9"/>
    <w:rsid w:val="005D3A83"/>
    <w:rsid w:val="005D5232"/>
    <w:rsid w:val="005D5B89"/>
    <w:rsid w:val="005D6840"/>
    <w:rsid w:val="005D7B97"/>
    <w:rsid w:val="005E1876"/>
    <w:rsid w:val="005E198B"/>
    <w:rsid w:val="005E3332"/>
    <w:rsid w:val="005E39C7"/>
    <w:rsid w:val="005E3B6A"/>
    <w:rsid w:val="005E3BDD"/>
    <w:rsid w:val="005E5EA3"/>
    <w:rsid w:val="005E7BA6"/>
    <w:rsid w:val="005F08ED"/>
    <w:rsid w:val="005F1B24"/>
    <w:rsid w:val="005F27B4"/>
    <w:rsid w:val="005F3608"/>
    <w:rsid w:val="005F38DE"/>
    <w:rsid w:val="005F3C94"/>
    <w:rsid w:val="005F4E1A"/>
    <w:rsid w:val="005F5472"/>
    <w:rsid w:val="005F553E"/>
    <w:rsid w:val="005F63F7"/>
    <w:rsid w:val="005F6B1B"/>
    <w:rsid w:val="00600D07"/>
    <w:rsid w:val="006013BC"/>
    <w:rsid w:val="00602482"/>
    <w:rsid w:val="00602D9E"/>
    <w:rsid w:val="00606032"/>
    <w:rsid w:val="006104B5"/>
    <w:rsid w:val="006109D4"/>
    <w:rsid w:val="006158B2"/>
    <w:rsid w:val="00615D71"/>
    <w:rsid w:val="00616953"/>
    <w:rsid w:val="0061717C"/>
    <w:rsid w:val="00620B10"/>
    <w:rsid w:val="00622904"/>
    <w:rsid w:val="00624887"/>
    <w:rsid w:val="0062586E"/>
    <w:rsid w:val="00625D0F"/>
    <w:rsid w:val="0062693B"/>
    <w:rsid w:val="0062763D"/>
    <w:rsid w:val="0063346A"/>
    <w:rsid w:val="00633595"/>
    <w:rsid w:val="00633CA1"/>
    <w:rsid w:val="00633E3A"/>
    <w:rsid w:val="00635D02"/>
    <w:rsid w:val="006374A8"/>
    <w:rsid w:val="006377D6"/>
    <w:rsid w:val="006406D8"/>
    <w:rsid w:val="00645787"/>
    <w:rsid w:val="006459D3"/>
    <w:rsid w:val="0064717F"/>
    <w:rsid w:val="00647BCC"/>
    <w:rsid w:val="00650F73"/>
    <w:rsid w:val="00651895"/>
    <w:rsid w:val="006557F9"/>
    <w:rsid w:val="00656E53"/>
    <w:rsid w:val="00656F1D"/>
    <w:rsid w:val="00657C3E"/>
    <w:rsid w:val="00663370"/>
    <w:rsid w:val="00663EC5"/>
    <w:rsid w:val="00664FFB"/>
    <w:rsid w:val="00665798"/>
    <w:rsid w:val="00667554"/>
    <w:rsid w:val="006705E6"/>
    <w:rsid w:val="00670607"/>
    <w:rsid w:val="00671E52"/>
    <w:rsid w:val="0067473A"/>
    <w:rsid w:val="00674AAA"/>
    <w:rsid w:val="00675B98"/>
    <w:rsid w:val="006761F7"/>
    <w:rsid w:val="00680334"/>
    <w:rsid w:val="00680B59"/>
    <w:rsid w:val="00681394"/>
    <w:rsid w:val="006816F5"/>
    <w:rsid w:val="00681E40"/>
    <w:rsid w:val="00682160"/>
    <w:rsid w:val="00682575"/>
    <w:rsid w:val="00682945"/>
    <w:rsid w:val="00682E1A"/>
    <w:rsid w:val="00683A89"/>
    <w:rsid w:val="00684A60"/>
    <w:rsid w:val="00685EBE"/>
    <w:rsid w:val="006875BF"/>
    <w:rsid w:val="006879AA"/>
    <w:rsid w:val="00691F01"/>
    <w:rsid w:val="006926D8"/>
    <w:rsid w:val="00693994"/>
    <w:rsid w:val="00693FA3"/>
    <w:rsid w:val="00694A2B"/>
    <w:rsid w:val="00695966"/>
    <w:rsid w:val="006A003D"/>
    <w:rsid w:val="006A25B9"/>
    <w:rsid w:val="006A2AC5"/>
    <w:rsid w:val="006A3BE8"/>
    <w:rsid w:val="006A531B"/>
    <w:rsid w:val="006A6608"/>
    <w:rsid w:val="006A7636"/>
    <w:rsid w:val="006A7B50"/>
    <w:rsid w:val="006B37CB"/>
    <w:rsid w:val="006B6802"/>
    <w:rsid w:val="006B6F50"/>
    <w:rsid w:val="006B7051"/>
    <w:rsid w:val="006C0DCA"/>
    <w:rsid w:val="006C221D"/>
    <w:rsid w:val="006C47A3"/>
    <w:rsid w:val="006C5A3C"/>
    <w:rsid w:val="006D0631"/>
    <w:rsid w:val="006D0BC3"/>
    <w:rsid w:val="006D0E62"/>
    <w:rsid w:val="006D1168"/>
    <w:rsid w:val="006D3482"/>
    <w:rsid w:val="006D6030"/>
    <w:rsid w:val="006D6225"/>
    <w:rsid w:val="006D6A20"/>
    <w:rsid w:val="006D6FEC"/>
    <w:rsid w:val="006D7294"/>
    <w:rsid w:val="006D7684"/>
    <w:rsid w:val="006E0CBE"/>
    <w:rsid w:val="006E37ED"/>
    <w:rsid w:val="006E3A44"/>
    <w:rsid w:val="006E3FEB"/>
    <w:rsid w:val="006E5BBB"/>
    <w:rsid w:val="006E60EC"/>
    <w:rsid w:val="006F2003"/>
    <w:rsid w:val="006F3023"/>
    <w:rsid w:val="006F66F0"/>
    <w:rsid w:val="0070211C"/>
    <w:rsid w:val="0070266C"/>
    <w:rsid w:val="00702E11"/>
    <w:rsid w:val="007032D9"/>
    <w:rsid w:val="00703738"/>
    <w:rsid w:val="00704CE9"/>
    <w:rsid w:val="007051F4"/>
    <w:rsid w:val="007065A0"/>
    <w:rsid w:val="00707391"/>
    <w:rsid w:val="00712014"/>
    <w:rsid w:val="00714DAC"/>
    <w:rsid w:val="007156AC"/>
    <w:rsid w:val="00715F2F"/>
    <w:rsid w:val="007167CE"/>
    <w:rsid w:val="0072006A"/>
    <w:rsid w:val="0072077D"/>
    <w:rsid w:val="00723B9B"/>
    <w:rsid w:val="007240E9"/>
    <w:rsid w:val="00724984"/>
    <w:rsid w:val="0072621F"/>
    <w:rsid w:val="00726508"/>
    <w:rsid w:val="00726E44"/>
    <w:rsid w:val="00727DB9"/>
    <w:rsid w:val="00730D0E"/>
    <w:rsid w:val="0073161B"/>
    <w:rsid w:val="00733D2B"/>
    <w:rsid w:val="00733E0F"/>
    <w:rsid w:val="00733EEB"/>
    <w:rsid w:val="007343FA"/>
    <w:rsid w:val="00734E51"/>
    <w:rsid w:val="00735822"/>
    <w:rsid w:val="00735A6E"/>
    <w:rsid w:val="0073740C"/>
    <w:rsid w:val="007402BB"/>
    <w:rsid w:val="0074174A"/>
    <w:rsid w:val="00742DBC"/>
    <w:rsid w:val="00745572"/>
    <w:rsid w:val="0074588F"/>
    <w:rsid w:val="00746C0A"/>
    <w:rsid w:val="00750B02"/>
    <w:rsid w:val="00750D94"/>
    <w:rsid w:val="00751822"/>
    <w:rsid w:val="0075247E"/>
    <w:rsid w:val="0075450D"/>
    <w:rsid w:val="0075673D"/>
    <w:rsid w:val="007567E9"/>
    <w:rsid w:val="00756DB0"/>
    <w:rsid w:val="00757DBC"/>
    <w:rsid w:val="0076058D"/>
    <w:rsid w:val="00760D46"/>
    <w:rsid w:val="0076228F"/>
    <w:rsid w:val="007630CE"/>
    <w:rsid w:val="00763A6A"/>
    <w:rsid w:val="00763C14"/>
    <w:rsid w:val="007642E9"/>
    <w:rsid w:val="00765EA8"/>
    <w:rsid w:val="00766EC7"/>
    <w:rsid w:val="007700E5"/>
    <w:rsid w:val="007711B0"/>
    <w:rsid w:val="00772E5C"/>
    <w:rsid w:val="007761D4"/>
    <w:rsid w:val="00776285"/>
    <w:rsid w:val="00777EE3"/>
    <w:rsid w:val="00781FB4"/>
    <w:rsid w:val="00782770"/>
    <w:rsid w:val="00784376"/>
    <w:rsid w:val="00784FBF"/>
    <w:rsid w:val="00785FED"/>
    <w:rsid w:val="0078663E"/>
    <w:rsid w:val="00790552"/>
    <w:rsid w:val="00790E1B"/>
    <w:rsid w:val="00792278"/>
    <w:rsid w:val="00793168"/>
    <w:rsid w:val="007934A2"/>
    <w:rsid w:val="007934CB"/>
    <w:rsid w:val="00793739"/>
    <w:rsid w:val="00794EA1"/>
    <w:rsid w:val="00795E19"/>
    <w:rsid w:val="00797EC8"/>
    <w:rsid w:val="007A06A6"/>
    <w:rsid w:val="007A40F3"/>
    <w:rsid w:val="007A60E1"/>
    <w:rsid w:val="007B01F7"/>
    <w:rsid w:val="007B4912"/>
    <w:rsid w:val="007B64B8"/>
    <w:rsid w:val="007B6D70"/>
    <w:rsid w:val="007B7ECC"/>
    <w:rsid w:val="007C1761"/>
    <w:rsid w:val="007C33A2"/>
    <w:rsid w:val="007C44B7"/>
    <w:rsid w:val="007C475E"/>
    <w:rsid w:val="007C5088"/>
    <w:rsid w:val="007C72C0"/>
    <w:rsid w:val="007C7457"/>
    <w:rsid w:val="007C7F90"/>
    <w:rsid w:val="007D0340"/>
    <w:rsid w:val="007D0913"/>
    <w:rsid w:val="007D2374"/>
    <w:rsid w:val="007D3268"/>
    <w:rsid w:val="007D5731"/>
    <w:rsid w:val="007E3F95"/>
    <w:rsid w:val="007E4E15"/>
    <w:rsid w:val="007F0BB0"/>
    <w:rsid w:val="007F0D79"/>
    <w:rsid w:val="007F3084"/>
    <w:rsid w:val="007F32A8"/>
    <w:rsid w:val="007F40B6"/>
    <w:rsid w:val="007F4621"/>
    <w:rsid w:val="007F51D1"/>
    <w:rsid w:val="007F61DE"/>
    <w:rsid w:val="007F63F1"/>
    <w:rsid w:val="007F7182"/>
    <w:rsid w:val="0080162F"/>
    <w:rsid w:val="00806031"/>
    <w:rsid w:val="008071A3"/>
    <w:rsid w:val="00807D1E"/>
    <w:rsid w:val="00811142"/>
    <w:rsid w:val="008116D2"/>
    <w:rsid w:val="00811EC3"/>
    <w:rsid w:val="00813F8A"/>
    <w:rsid w:val="00814EAE"/>
    <w:rsid w:val="00815528"/>
    <w:rsid w:val="00817379"/>
    <w:rsid w:val="00820A94"/>
    <w:rsid w:val="008224CB"/>
    <w:rsid w:val="00823987"/>
    <w:rsid w:val="00823F25"/>
    <w:rsid w:val="00823F3A"/>
    <w:rsid w:val="00824011"/>
    <w:rsid w:val="00825213"/>
    <w:rsid w:val="0082687C"/>
    <w:rsid w:val="00826882"/>
    <w:rsid w:val="00827A7A"/>
    <w:rsid w:val="00830173"/>
    <w:rsid w:val="00831114"/>
    <w:rsid w:val="008322C2"/>
    <w:rsid w:val="00833DF0"/>
    <w:rsid w:val="00834B60"/>
    <w:rsid w:val="00836BE8"/>
    <w:rsid w:val="008376C6"/>
    <w:rsid w:val="0083781C"/>
    <w:rsid w:val="008378A5"/>
    <w:rsid w:val="00840748"/>
    <w:rsid w:val="008407FD"/>
    <w:rsid w:val="0084087D"/>
    <w:rsid w:val="00841896"/>
    <w:rsid w:val="008428AF"/>
    <w:rsid w:val="00842AA5"/>
    <w:rsid w:val="008435BC"/>
    <w:rsid w:val="00843BF7"/>
    <w:rsid w:val="0084548A"/>
    <w:rsid w:val="008509BE"/>
    <w:rsid w:val="00856ABA"/>
    <w:rsid w:val="00861517"/>
    <w:rsid w:val="00861C71"/>
    <w:rsid w:val="00864B13"/>
    <w:rsid w:val="00864D15"/>
    <w:rsid w:val="008650D5"/>
    <w:rsid w:val="0086560D"/>
    <w:rsid w:val="00866088"/>
    <w:rsid w:val="00866E5D"/>
    <w:rsid w:val="008701C6"/>
    <w:rsid w:val="00870438"/>
    <w:rsid w:val="0087124B"/>
    <w:rsid w:val="00871544"/>
    <w:rsid w:val="008716CA"/>
    <w:rsid w:val="008739D2"/>
    <w:rsid w:val="00874666"/>
    <w:rsid w:val="008754B3"/>
    <w:rsid w:val="00875845"/>
    <w:rsid w:val="0087705F"/>
    <w:rsid w:val="0088338B"/>
    <w:rsid w:val="00886084"/>
    <w:rsid w:val="00887400"/>
    <w:rsid w:val="00887728"/>
    <w:rsid w:val="00892799"/>
    <w:rsid w:val="00893BD3"/>
    <w:rsid w:val="00897898"/>
    <w:rsid w:val="00897C50"/>
    <w:rsid w:val="008A145B"/>
    <w:rsid w:val="008A170F"/>
    <w:rsid w:val="008A201A"/>
    <w:rsid w:val="008A2872"/>
    <w:rsid w:val="008A3141"/>
    <w:rsid w:val="008A359E"/>
    <w:rsid w:val="008A7433"/>
    <w:rsid w:val="008B00D5"/>
    <w:rsid w:val="008B3742"/>
    <w:rsid w:val="008B6568"/>
    <w:rsid w:val="008B785A"/>
    <w:rsid w:val="008C0CB5"/>
    <w:rsid w:val="008C3BD2"/>
    <w:rsid w:val="008C6230"/>
    <w:rsid w:val="008C63A5"/>
    <w:rsid w:val="008C6469"/>
    <w:rsid w:val="008C74F2"/>
    <w:rsid w:val="008C7A14"/>
    <w:rsid w:val="008D08C5"/>
    <w:rsid w:val="008D1003"/>
    <w:rsid w:val="008D215D"/>
    <w:rsid w:val="008D3162"/>
    <w:rsid w:val="008D37C3"/>
    <w:rsid w:val="008D422E"/>
    <w:rsid w:val="008D4B27"/>
    <w:rsid w:val="008D61B7"/>
    <w:rsid w:val="008D7516"/>
    <w:rsid w:val="008D7F15"/>
    <w:rsid w:val="008E173C"/>
    <w:rsid w:val="008E1915"/>
    <w:rsid w:val="008E2DE0"/>
    <w:rsid w:val="008E31D4"/>
    <w:rsid w:val="008E3C72"/>
    <w:rsid w:val="008E3EA7"/>
    <w:rsid w:val="008E44B5"/>
    <w:rsid w:val="008E4640"/>
    <w:rsid w:val="008E49BB"/>
    <w:rsid w:val="008E6EBA"/>
    <w:rsid w:val="008E6F12"/>
    <w:rsid w:val="008F04D1"/>
    <w:rsid w:val="008F0C71"/>
    <w:rsid w:val="008F1FCF"/>
    <w:rsid w:val="008F2339"/>
    <w:rsid w:val="008F29BE"/>
    <w:rsid w:val="008F2AD8"/>
    <w:rsid w:val="008F4D25"/>
    <w:rsid w:val="008F5047"/>
    <w:rsid w:val="00900D53"/>
    <w:rsid w:val="00901DD9"/>
    <w:rsid w:val="00902F37"/>
    <w:rsid w:val="00903D01"/>
    <w:rsid w:val="00906645"/>
    <w:rsid w:val="00906C03"/>
    <w:rsid w:val="00907033"/>
    <w:rsid w:val="00910080"/>
    <w:rsid w:val="009111BA"/>
    <w:rsid w:val="00911676"/>
    <w:rsid w:val="0091196E"/>
    <w:rsid w:val="00912F4C"/>
    <w:rsid w:val="0091350F"/>
    <w:rsid w:val="00915268"/>
    <w:rsid w:val="0091552F"/>
    <w:rsid w:val="00917960"/>
    <w:rsid w:val="00920009"/>
    <w:rsid w:val="00922315"/>
    <w:rsid w:val="009230CC"/>
    <w:rsid w:val="00923448"/>
    <w:rsid w:val="0092354A"/>
    <w:rsid w:val="00923586"/>
    <w:rsid w:val="0092663A"/>
    <w:rsid w:val="00926F2B"/>
    <w:rsid w:val="00927DDD"/>
    <w:rsid w:val="00931166"/>
    <w:rsid w:val="00931741"/>
    <w:rsid w:val="00931FC5"/>
    <w:rsid w:val="00932260"/>
    <w:rsid w:val="00932D79"/>
    <w:rsid w:val="00932DC7"/>
    <w:rsid w:val="00933EDF"/>
    <w:rsid w:val="009342DF"/>
    <w:rsid w:val="00934638"/>
    <w:rsid w:val="009359B8"/>
    <w:rsid w:val="00936443"/>
    <w:rsid w:val="00937350"/>
    <w:rsid w:val="0093743E"/>
    <w:rsid w:val="009375C8"/>
    <w:rsid w:val="009377EF"/>
    <w:rsid w:val="009378BC"/>
    <w:rsid w:val="0094064F"/>
    <w:rsid w:val="00941032"/>
    <w:rsid w:val="0094294B"/>
    <w:rsid w:val="00943AF0"/>
    <w:rsid w:val="00943E91"/>
    <w:rsid w:val="0094628B"/>
    <w:rsid w:val="00946985"/>
    <w:rsid w:val="009469A8"/>
    <w:rsid w:val="00950326"/>
    <w:rsid w:val="00950EEF"/>
    <w:rsid w:val="00953ABC"/>
    <w:rsid w:val="009548ED"/>
    <w:rsid w:val="009561B5"/>
    <w:rsid w:val="009570E2"/>
    <w:rsid w:val="00957D6F"/>
    <w:rsid w:val="009603AF"/>
    <w:rsid w:val="009630D8"/>
    <w:rsid w:val="00965D00"/>
    <w:rsid w:val="009672C2"/>
    <w:rsid w:val="00967C9A"/>
    <w:rsid w:val="00970E20"/>
    <w:rsid w:val="009723C6"/>
    <w:rsid w:val="00973BE3"/>
    <w:rsid w:val="009742D3"/>
    <w:rsid w:val="00976213"/>
    <w:rsid w:val="009777BA"/>
    <w:rsid w:val="009810BD"/>
    <w:rsid w:val="009820C0"/>
    <w:rsid w:val="00986C54"/>
    <w:rsid w:val="009871A3"/>
    <w:rsid w:val="009904D2"/>
    <w:rsid w:val="00993384"/>
    <w:rsid w:val="009936F3"/>
    <w:rsid w:val="00994C1E"/>
    <w:rsid w:val="00994FA6"/>
    <w:rsid w:val="0099525E"/>
    <w:rsid w:val="00997361"/>
    <w:rsid w:val="00997591"/>
    <w:rsid w:val="00997E19"/>
    <w:rsid w:val="009A0164"/>
    <w:rsid w:val="009A0688"/>
    <w:rsid w:val="009A101A"/>
    <w:rsid w:val="009A203A"/>
    <w:rsid w:val="009A25A8"/>
    <w:rsid w:val="009A5E9C"/>
    <w:rsid w:val="009A6137"/>
    <w:rsid w:val="009B4459"/>
    <w:rsid w:val="009B4714"/>
    <w:rsid w:val="009B4AA8"/>
    <w:rsid w:val="009B607B"/>
    <w:rsid w:val="009B609B"/>
    <w:rsid w:val="009B6CF4"/>
    <w:rsid w:val="009B783B"/>
    <w:rsid w:val="009C18BD"/>
    <w:rsid w:val="009C556B"/>
    <w:rsid w:val="009C60DF"/>
    <w:rsid w:val="009D4A14"/>
    <w:rsid w:val="009D4DB5"/>
    <w:rsid w:val="009D6B24"/>
    <w:rsid w:val="009D6F06"/>
    <w:rsid w:val="009D70CF"/>
    <w:rsid w:val="009E3FD7"/>
    <w:rsid w:val="009E5159"/>
    <w:rsid w:val="009E55EB"/>
    <w:rsid w:val="009E575A"/>
    <w:rsid w:val="009E61BB"/>
    <w:rsid w:val="009F1976"/>
    <w:rsid w:val="009F1CDA"/>
    <w:rsid w:val="009F214E"/>
    <w:rsid w:val="009F2D53"/>
    <w:rsid w:val="009F57FA"/>
    <w:rsid w:val="009F61BC"/>
    <w:rsid w:val="009F6E47"/>
    <w:rsid w:val="009F73FA"/>
    <w:rsid w:val="009F7424"/>
    <w:rsid w:val="009F7E47"/>
    <w:rsid w:val="00A01E51"/>
    <w:rsid w:val="00A02DF8"/>
    <w:rsid w:val="00A0338E"/>
    <w:rsid w:val="00A044C0"/>
    <w:rsid w:val="00A05B99"/>
    <w:rsid w:val="00A05D50"/>
    <w:rsid w:val="00A10085"/>
    <w:rsid w:val="00A10707"/>
    <w:rsid w:val="00A10A09"/>
    <w:rsid w:val="00A11761"/>
    <w:rsid w:val="00A13BAE"/>
    <w:rsid w:val="00A16B6D"/>
    <w:rsid w:val="00A171BE"/>
    <w:rsid w:val="00A224A3"/>
    <w:rsid w:val="00A23AFE"/>
    <w:rsid w:val="00A24027"/>
    <w:rsid w:val="00A256FE"/>
    <w:rsid w:val="00A26549"/>
    <w:rsid w:val="00A276DD"/>
    <w:rsid w:val="00A2791F"/>
    <w:rsid w:val="00A312E9"/>
    <w:rsid w:val="00A31CEA"/>
    <w:rsid w:val="00A32794"/>
    <w:rsid w:val="00A35B1D"/>
    <w:rsid w:val="00A35BC0"/>
    <w:rsid w:val="00A35ECD"/>
    <w:rsid w:val="00A379FF"/>
    <w:rsid w:val="00A407CA"/>
    <w:rsid w:val="00A414D2"/>
    <w:rsid w:val="00A451CE"/>
    <w:rsid w:val="00A4679D"/>
    <w:rsid w:val="00A47893"/>
    <w:rsid w:val="00A50F6B"/>
    <w:rsid w:val="00A51568"/>
    <w:rsid w:val="00A51B30"/>
    <w:rsid w:val="00A51F13"/>
    <w:rsid w:val="00A522CB"/>
    <w:rsid w:val="00A533FA"/>
    <w:rsid w:val="00A535D2"/>
    <w:rsid w:val="00A53E0F"/>
    <w:rsid w:val="00A54C3C"/>
    <w:rsid w:val="00A54EE4"/>
    <w:rsid w:val="00A5500F"/>
    <w:rsid w:val="00A56EFA"/>
    <w:rsid w:val="00A57EFA"/>
    <w:rsid w:val="00A57F17"/>
    <w:rsid w:val="00A60A7A"/>
    <w:rsid w:val="00A61823"/>
    <w:rsid w:val="00A62CE7"/>
    <w:rsid w:val="00A64077"/>
    <w:rsid w:val="00A64751"/>
    <w:rsid w:val="00A64887"/>
    <w:rsid w:val="00A6516B"/>
    <w:rsid w:val="00A6691F"/>
    <w:rsid w:val="00A66CA8"/>
    <w:rsid w:val="00A71F71"/>
    <w:rsid w:val="00A72F4B"/>
    <w:rsid w:val="00A7313B"/>
    <w:rsid w:val="00A74DB6"/>
    <w:rsid w:val="00A74EA3"/>
    <w:rsid w:val="00A75A9B"/>
    <w:rsid w:val="00A76C23"/>
    <w:rsid w:val="00A773EE"/>
    <w:rsid w:val="00A77F15"/>
    <w:rsid w:val="00A8014B"/>
    <w:rsid w:val="00A80F33"/>
    <w:rsid w:val="00A80FDD"/>
    <w:rsid w:val="00A81058"/>
    <w:rsid w:val="00A8173C"/>
    <w:rsid w:val="00A842B3"/>
    <w:rsid w:val="00A86D27"/>
    <w:rsid w:val="00A91184"/>
    <w:rsid w:val="00A91419"/>
    <w:rsid w:val="00A923ED"/>
    <w:rsid w:val="00A9244A"/>
    <w:rsid w:val="00A93676"/>
    <w:rsid w:val="00A93AD7"/>
    <w:rsid w:val="00A9497E"/>
    <w:rsid w:val="00A94FF6"/>
    <w:rsid w:val="00A95AE3"/>
    <w:rsid w:val="00A95D8F"/>
    <w:rsid w:val="00AA0F9C"/>
    <w:rsid w:val="00AA131D"/>
    <w:rsid w:val="00AA3153"/>
    <w:rsid w:val="00AA3E47"/>
    <w:rsid w:val="00AA6878"/>
    <w:rsid w:val="00AA7410"/>
    <w:rsid w:val="00AA7BE9"/>
    <w:rsid w:val="00AB02F9"/>
    <w:rsid w:val="00AB05D1"/>
    <w:rsid w:val="00AB131F"/>
    <w:rsid w:val="00AB1BC5"/>
    <w:rsid w:val="00AB38CA"/>
    <w:rsid w:val="00AB4E02"/>
    <w:rsid w:val="00AC15C4"/>
    <w:rsid w:val="00AC198E"/>
    <w:rsid w:val="00AC31A0"/>
    <w:rsid w:val="00AC3607"/>
    <w:rsid w:val="00AC4409"/>
    <w:rsid w:val="00AC6A28"/>
    <w:rsid w:val="00AD0EBD"/>
    <w:rsid w:val="00AD214C"/>
    <w:rsid w:val="00AD287C"/>
    <w:rsid w:val="00AD3598"/>
    <w:rsid w:val="00AD3F14"/>
    <w:rsid w:val="00AD4081"/>
    <w:rsid w:val="00AD4691"/>
    <w:rsid w:val="00AD4B6E"/>
    <w:rsid w:val="00AD6C05"/>
    <w:rsid w:val="00AD7F82"/>
    <w:rsid w:val="00AE18A4"/>
    <w:rsid w:val="00AE1A8D"/>
    <w:rsid w:val="00AE26C0"/>
    <w:rsid w:val="00AE40CF"/>
    <w:rsid w:val="00AE5D5A"/>
    <w:rsid w:val="00AE6811"/>
    <w:rsid w:val="00AE6E95"/>
    <w:rsid w:val="00AF09BE"/>
    <w:rsid w:val="00AF1580"/>
    <w:rsid w:val="00AF66D6"/>
    <w:rsid w:val="00AF7979"/>
    <w:rsid w:val="00B0043F"/>
    <w:rsid w:val="00B00C53"/>
    <w:rsid w:val="00B0215E"/>
    <w:rsid w:val="00B03C1D"/>
    <w:rsid w:val="00B048C8"/>
    <w:rsid w:val="00B04C5D"/>
    <w:rsid w:val="00B05D70"/>
    <w:rsid w:val="00B069DB"/>
    <w:rsid w:val="00B10409"/>
    <w:rsid w:val="00B1262F"/>
    <w:rsid w:val="00B1293A"/>
    <w:rsid w:val="00B14355"/>
    <w:rsid w:val="00B150C9"/>
    <w:rsid w:val="00B15E45"/>
    <w:rsid w:val="00B17220"/>
    <w:rsid w:val="00B174E1"/>
    <w:rsid w:val="00B17A08"/>
    <w:rsid w:val="00B20063"/>
    <w:rsid w:val="00B20212"/>
    <w:rsid w:val="00B20A4F"/>
    <w:rsid w:val="00B20E79"/>
    <w:rsid w:val="00B21226"/>
    <w:rsid w:val="00B21CF8"/>
    <w:rsid w:val="00B22630"/>
    <w:rsid w:val="00B23849"/>
    <w:rsid w:val="00B24506"/>
    <w:rsid w:val="00B24D94"/>
    <w:rsid w:val="00B2603C"/>
    <w:rsid w:val="00B26AEA"/>
    <w:rsid w:val="00B27CB0"/>
    <w:rsid w:val="00B311F0"/>
    <w:rsid w:val="00B3364D"/>
    <w:rsid w:val="00B33CD9"/>
    <w:rsid w:val="00B34E23"/>
    <w:rsid w:val="00B373D7"/>
    <w:rsid w:val="00B376B7"/>
    <w:rsid w:val="00B40375"/>
    <w:rsid w:val="00B420AA"/>
    <w:rsid w:val="00B442E1"/>
    <w:rsid w:val="00B4656C"/>
    <w:rsid w:val="00B47229"/>
    <w:rsid w:val="00B5093A"/>
    <w:rsid w:val="00B50B74"/>
    <w:rsid w:val="00B50BB6"/>
    <w:rsid w:val="00B51A3F"/>
    <w:rsid w:val="00B526A0"/>
    <w:rsid w:val="00B52BAE"/>
    <w:rsid w:val="00B53532"/>
    <w:rsid w:val="00B54B40"/>
    <w:rsid w:val="00B55494"/>
    <w:rsid w:val="00B56B12"/>
    <w:rsid w:val="00B57E56"/>
    <w:rsid w:val="00B602F1"/>
    <w:rsid w:val="00B634E5"/>
    <w:rsid w:val="00B64365"/>
    <w:rsid w:val="00B65C08"/>
    <w:rsid w:val="00B66504"/>
    <w:rsid w:val="00B66C26"/>
    <w:rsid w:val="00B672CD"/>
    <w:rsid w:val="00B7073A"/>
    <w:rsid w:val="00B71FA4"/>
    <w:rsid w:val="00B72FC6"/>
    <w:rsid w:val="00B7337D"/>
    <w:rsid w:val="00B73CB9"/>
    <w:rsid w:val="00B746B4"/>
    <w:rsid w:val="00B803CE"/>
    <w:rsid w:val="00B82AAA"/>
    <w:rsid w:val="00B83AC1"/>
    <w:rsid w:val="00B84BF0"/>
    <w:rsid w:val="00B84E1A"/>
    <w:rsid w:val="00B86002"/>
    <w:rsid w:val="00B90442"/>
    <w:rsid w:val="00B9260C"/>
    <w:rsid w:val="00BA0EB3"/>
    <w:rsid w:val="00BA196C"/>
    <w:rsid w:val="00BA1972"/>
    <w:rsid w:val="00BA2B28"/>
    <w:rsid w:val="00BA3374"/>
    <w:rsid w:val="00BA3D83"/>
    <w:rsid w:val="00BA4DBA"/>
    <w:rsid w:val="00BA4EA6"/>
    <w:rsid w:val="00BA5A4F"/>
    <w:rsid w:val="00BA63B6"/>
    <w:rsid w:val="00BB0E04"/>
    <w:rsid w:val="00BB1505"/>
    <w:rsid w:val="00BB526E"/>
    <w:rsid w:val="00BB780A"/>
    <w:rsid w:val="00BB79CB"/>
    <w:rsid w:val="00BB7B95"/>
    <w:rsid w:val="00BC21F6"/>
    <w:rsid w:val="00BC3430"/>
    <w:rsid w:val="00BC3C70"/>
    <w:rsid w:val="00BC4738"/>
    <w:rsid w:val="00BC5D4E"/>
    <w:rsid w:val="00BC6BCE"/>
    <w:rsid w:val="00BC77A5"/>
    <w:rsid w:val="00BD02B9"/>
    <w:rsid w:val="00BD1E79"/>
    <w:rsid w:val="00BD234B"/>
    <w:rsid w:val="00BD368F"/>
    <w:rsid w:val="00BD3C14"/>
    <w:rsid w:val="00BD5CC2"/>
    <w:rsid w:val="00BD6C89"/>
    <w:rsid w:val="00BE155E"/>
    <w:rsid w:val="00BE16A9"/>
    <w:rsid w:val="00BE1AB2"/>
    <w:rsid w:val="00BE1E67"/>
    <w:rsid w:val="00BE2500"/>
    <w:rsid w:val="00BE256A"/>
    <w:rsid w:val="00BE380F"/>
    <w:rsid w:val="00BE49D1"/>
    <w:rsid w:val="00BE6569"/>
    <w:rsid w:val="00BE67B8"/>
    <w:rsid w:val="00BE7F70"/>
    <w:rsid w:val="00BF12F4"/>
    <w:rsid w:val="00BF1D5B"/>
    <w:rsid w:val="00BF2907"/>
    <w:rsid w:val="00BF2A6E"/>
    <w:rsid w:val="00BF4584"/>
    <w:rsid w:val="00BF4996"/>
    <w:rsid w:val="00BF5980"/>
    <w:rsid w:val="00BF6DC5"/>
    <w:rsid w:val="00C0052A"/>
    <w:rsid w:val="00C01848"/>
    <w:rsid w:val="00C020E9"/>
    <w:rsid w:val="00C03211"/>
    <w:rsid w:val="00C038E7"/>
    <w:rsid w:val="00C03944"/>
    <w:rsid w:val="00C03972"/>
    <w:rsid w:val="00C04CA9"/>
    <w:rsid w:val="00C0666C"/>
    <w:rsid w:val="00C0769A"/>
    <w:rsid w:val="00C10CC9"/>
    <w:rsid w:val="00C11C72"/>
    <w:rsid w:val="00C120C2"/>
    <w:rsid w:val="00C1266E"/>
    <w:rsid w:val="00C1276A"/>
    <w:rsid w:val="00C12EA0"/>
    <w:rsid w:val="00C150C8"/>
    <w:rsid w:val="00C1520F"/>
    <w:rsid w:val="00C159B2"/>
    <w:rsid w:val="00C16C59"/>
    <w:rsid w:val="00C21377"/>
    <w:rsid w:val="00C2197F"/>
    <w:rsid w:val="00C21C5F"/>
    <w:rsid w:val="00C2445B"/>
    <w:rsid w:val="00C25E97"/>
    <w:rsid w:val="00C2619E"/>
    <w:rsid w:val="00C301C9"/>
    <w:rsid w:val="00C319A4"/>
    <w:rsid w:val="00C3211E"/>
    <w:rsid w:val="00C32326"/>
    <w:rsid w:val="00C3315D"/>
    <w:rsid w:val="00C34703"/>
    <w:rsid w:val="00C350A6"/>
    <w:rsid w:val="00C35B73"/>
    <w:rsid w:val="00C35D81"/>
    <w:rsid w:val="00C376B5"/>
    <w:rsid w:val="00C40227"/>
    <w:rsid w:val="00C433F8"/>
    <w:rsid w:val="00C463DB"/>
    <w:rsid w:val="00C47F31"/>
    <w:rsid w:val="00C50694"/>
    <w:rsid w:val="00C50BEF"/>
    <w:rsid w:val="00C51F40"/>
    <w:rsid w:val="00C534D3"/>
    <w:rsid w:val="00C542E5"/>
    <w:rsid w:val="00C5526A"/>
    <w:rsid w:val="00C557F6"/>
    <w:rsid w:val="00C55829"/>
    <w:rsid w:val="00C57D99"/>
    <w:rsid w:val="00C6031C"/>
    <w:rsid w:val="00C60A5F"/>
    <w:rsid w:val="00C625E4"/>
    <w:rsid w:val="00C64CE1"/>
    <w:rsid w:val="00C65289"/>
    <w:rsid w:val="00C66670"/>
    <w:rsid w:val="00C675F7"/>
    <w:rsid w:val="00C710EE"/>
    <w:rsid w:val="00C725C7"/>
    <w:rsid w:val="00C731EA"/>
    <w:rsid w:val="00C7342C"/>
    <w:rsid w:val="00C73D89"/>
    <w:rsid w:val="00C74336"/>
    <w:rsid w:val="00C74E23"/>
    <w:rsid w:val="00C75646"/>
    <w:rsid w:val="00C801D7"/>
    <w:rsid w:val="00C80781"/>
    <w:rsid w:val="00C80B12"/>
    <w:rsid w:val="00C80C7B"/>
    <w:rsid w:val="00C84EBF"/>
    <w:rsid w:val="00C85B1D"/>
    <w:rsid w:val="00C862AA"/>
    <w:rsid w:val="00C868EA"/>
    <w:rsid w:val="00C86BF0"/>
    <w:rsid w:val="00C87EEE"/>
    <w:rsid w:val="00C9086A"/>
    <w:rsid w:val="00C9146C"/>
    <w:rsid w:val="00C96761"/>
    <w:rsid w:val="00C96EF5"/>
    <w:rsid w:val="00C97717"/>
    <w:rsid w:val="00CA01D8"/>
    <w:rsid w:val="00CA2708"/>
    <w:rsid w:val="00CA6829"/>
    <w:rsid w:val="00CA785C"/>
    <w:rsid w:val="00CB1135"/>
    <w:rsid w:val="00CB1D4D"/>
    <w:rsid w:val="00CB1F3D"/>
    <w:rsid w:val="00CB58D9"/>
    <w:rsid w:val="00CB5BB4"/>
    <w:rsid w:val="00CC0928"/>
    <w:rsid w:val="00CC4100"/>
    <w:rsid w:val="00CC4C1F"/>
    <w:rsid w:val="00CC6463"/>
    <w:rsid w:val="00CC6A48"/>
    <w:rsid w:val="00CC6D46"/>
    <w:rsid w:val="00CC6F52"/>
    <w:rsid w:val="00CC74CD"/>
    <w:rsid w:val="00CD1308"/>
    <w:rsid w:val="00CD19EC"/>
    <w:rsid w:val="00CD2DF8"/>
    <w:rsid w:val="00CD3195"/>
    <w:rsid w:val="00CD31D3"/>
    <w:rsid w:val="00CD4798"/>
    <w:rsid w:val="00CD4C5B"/>
    <w:rsid w:val="00CE0595"/>
    <w:rsid w:val="00CE5313"/>
    <w:rsid w:val="00CE63EE"/>
    <w:rsid w:val="00CE69C1"/>
    <w:rsid w:val="00CE69E5"/>
    <w:rsid w:val="00CE70D7"/>
    <w:rsid w:val="00CE7F60"/>
    <w:rsid w:val="00CF15C1"/>
    <w:rsid w:val="00CF47E6"/>
    <w:rsid w:val="00CF4B97"/>
    <w:rsid w:val="00D00CBC"/>
    <w:rsid w:val="00D00E21"/>
    <w:rsid w:val="00D0147C"/>
    <w:rsid w:val="00D01800"/>
    <w:rsid w:val="00D028B5"/>
    <w:rsid w:val="00D02A70"/>
    <w:rsid w:val="00D04328"/>
    <w:rsid w:val="00D04858"/>
    <w:rsid w:val="00D04C26"/>
    <w:rsid w:val="00D06886"/>
    <w:rsid w:val="00D07C10"/>
    <w:rsid w:val="00D102E2"/>
    <w:rsid w:val="00D1086B"/>
    <w:rsid w:val="00D15EBE"/>
    <w:rsid w:val="00D165DB"/>
    <w:rsid w:val="00D16B84"/>
    <w:rsid w:val="00D207B0"/>
    <w:rsid w:val="00D21FC2"/>
    <w:rsid w:val="00D252C1"/>
    <w:rsid w:val="00D25537"/>
    <w:rsid w:val="00D2579F"/>
    <w:rsid w:val="00D259CC"/>
    <w:rsid w:val="00D25F2D"/>
    <w:rsid w:val="00D2656D"/>
    <w:rsid w:val="00D26BE3"/>
    <w:rsid w:val="00D304FB"/>
    <w:rsid w:val="00D31B94"/>
    <w:rsid w:val="00D340FD"/>
    <w:rsid w:val="00D353AB"/>
    <w:rsid w:val="00D3645C"/>
    <w:rsid w:val="00D36544"/>
    <w:rsid w:val="00D37426"/>
    <w:rsid w:val="00D400D7"/>
    <w:rsid w:val="00D40EE0"/>
    <w:rsid w:val="00D42B47"/>
    <w:rsid w:val="00D42D18"/>
    <w:rsid w:val="00D44E2C"/>
    <w:rsid w:val="00D45C2F"/>
    <w:rsid w:val="00D50E5E"/>
    <w:rsid w:val="00D54132"/>
    <w:rsid w:val="00D5451B"/>
    <w:rsid w:val="00D54E0F"/>
    <w:rsid w:val="00D555FF"/>
    <w:rsid w:val="00D56207"/>
    <w:rsid w:val="00D5768B"/>
    <w:rsid w:val="00D577EF"/>
    <w:rsid w:val="00D60D27"/>
    <w:rsid w:val="00D614D3"/>
    <w:rsid w:val="00D629C1"/>
    <w:rsid w:val="00D64B9F"/>
    <w:rsid w:val="00D65E87"/>
    <w:rsid w:val="00D66B82"/>
    <w:rsid w:val="00D67DEB"/>
    <w:rsid w:val="00D708A6"/>
    <w:rsid w:val="00D70BA3"/>
    <w:rsid w:val="00D712D6"/>
    <w:rsid w:val="00D7153E"/>
    <w:rsid w:val="00D73046"/>
    <w:rsid w:val="00D750D3"/>
    <w:rsid w:val="00D7553F"/>
    <w:rsid w:val="00D76A85"/>
    <w:rsid w:val="00D80690"/>
    <w:rsid w:val="00D816CB"/>
    <w:rsid w:val="00D81F13"/>
    <w:rsid w:val="00D820C7"/>
    <w:rsid w:val="00D83891"/>
    <w:rsid w:val="00D85928"/>
    <w:rsid w:val="00D86036"/>
    <w:rsid w:val="00D874F0"/>
    <w:rsid w:val="00D87CB6"/>
    <w:rsid w:val="00D90054"/>
    <w:rsid w:val="00D9036F"/>
    <w:rsid w:val="00D90EDC"/>
    <w:rsid w:val="00D926F6"/>
    <w:rsid w:val="00DA0036"/>
    <w:rsid w:val="00DA0158"/>
    <w:rsid w:val="00DA0B2C"/>
    <w:rsid w:val="00DA2444"/>
    <w:rsid w:val="00DA6860"/>
    <w:rsid w:val="00DA6987"/>
    <w:rsid w:val="00DB113A"/>
    <w:rsid w:val="00DB1317"/>
    <w:rsid w:val="00DB14A4"/>
    <w:rsid w:val="00DB3151"/>
    <w:rsid w:val="00DB41B7"/>
    <w:rsid w:val="00DB4D51"/>
    <w:rsid w:val="00DB57F3"/>
    <w:rsid w:val="00DC0DEE"/>
    <w:rsid w:val="00DC122D"/>
    <w:rsid w:val="00DC1A80"/>
    <w:rsid w:val="00DC1E18"/>
    <w:rsid w:val="00DC2CCD"/>
    <w:rsid w:val="00DC3C47"/>
    <w:rsid w:val="00DC4193"/>
    <w:rsid w:val="00DC5840"/>
    <w:rsid w:val="00DC71E7"/>
    <w:rsid w:val="00DC7A65"/>
    <w:rsid w:val="00DC7F14"/>
    <w:rsid w:val="00DD3660"/>
    <w:rsid w:val="00DD484A"/>
    <w:rsid w:val="00DD4BFF"/>
    <w:rsid w:val="00DD6765"/>
    <w:rsid w:val="00DD68EC"/>
    <w:rsid w:val="00DD6BF5"/>
    <w:rsid w:val="00DD6EC5"/>
    <w:rsid w:val="00DE0202"/>
    <w:rsid w:val="00DE06D9"/>
    <w:rsid w:val="00DE1A72"/>
    <w:rsid w:val="00DE2427"/>
    <w:rsid w:val="00DE2A9C"/>
    <w:rsid w:val="00DE53B6"/>
    <w:rsid w:val="00DE6395"/>
    <w:rsid w:val="00DE666E"/>
    <w:rsid w:val="00DE6B9E"/>
    <w:rsid w:val="00DE734D"/>
    <w:rsid w:val="00DF12AD"/>
    <w:rsid w:val="00DF12CF"/>
    <w:rsid w:val="00DF2FB8"/>
    <w:rsid w:val="00DF3936"/>
    <w:rsid w:val="00DF434A"/>
    <w:rsid w:val="00DF4ED1"/>
    <w:rsid w:val="00DF5089"/>
    <w:rsid w:val="00DF58F2"/>
    <w:rsid w:val="00DF60BE"/>
    <w:rsid w:val="00DF635D"/>
    <w:rsid w:val="00DF7CA5"/>
    <w:rsid w:val="00E01B0A"/>
    <w:rsid w:val="00E023FD"/>
    <w:rsid w:val="00E031FE"/>
    <w:rsid w:val="00E0571B"/>
    <w:rsid w:val="00E069CB"/>
    <w:rsid w:val="00E06C35"/>
    <w:rsid w:val="00E11A50"/>
    <w:rsid w:val="00E13B01"/>
    <w:rsid w:val="00E14D37"/>
    <w:rsid w:val="00E1607F"/>
    <w:rsid w:val="00E16912"/>
    <w:rsid w:val="00E16BE9"/>
    <w:rsid w:val="00E17076"/>
    <w:rsid w:val="00E200EB"/>
    <w:rsid w:val="00E22743"/>
    <w:rsid w:val="00E237A7"/>
    <w:rsid w:val="00E25BFB"/>
    <w:rsid w:val="00E25D87"/>
    <w:rsid w:val="00E26406"/>
    <w:rsid w:val="00E26C88"/>
    <w:rsid w:val="00E278D8"/>
    <w:rsid w:val="00E30B13"/>
    <w:rsid w:val="00E30DDB"/>
    <w:rsid w:val="00E32BF3"/>
    <w:rsid w:val="00E33FE5"/>
    <w:rsid w:val="00E347FD"/>
    <w:rsid w:val="00E358C7"/>
    <w:rsid w:val="00E36013"/>
    <w:rsid w:val="00E37D0D"/>
    <w:rsid w:val="00E42E91"/>
    <w:rsid w:val="00E433C4"/>
    <w:rsid w:val="00E44885"/>
    <w:rsid w:val="00E4518C"/>
    <w:rsid w:val="00E453D1"/>
    <w:rsid w:val="00E455F4"/>
    <w:rsid w:val="00E45E50"/>
    <w:rsid w:val="00E466A1"/>
    <w:rsid w:val="00E47E40"/>
    <w:rsid w:val="00E50976"/>
    <w:rsid w:val="00E51515"/>
    <w:rsid w:val="00E528AC"/>
    <w:rsid w:val="00E52BDD"/>
    <w:rsid w:val="00E5347C"/>
    <w:rsid w:val="00E53528"/>
    <w:rsid w:val="00E556C9"/>
    <w:rsid w:val="00E562B5"/>
    <w:rsid w:val="00E57DDD"/>
    <w:rsid w:val="00E61644"/>
    <w:rsid w:val="00E62AEF"/>
    <w:rsid w:val="00E639C8"/>
    <w:rsid w:val="00E64405"/>
    <w:rsid w:val="00E644E6"/>
    <w:rsid w:val="00E64B3A"/>
    <w:rsid w:val="00E65556"/>
    <w:rsid w:val="00E65900"/>
    <w:rsid w:val="00E67AEE"/>
    <w:rsid w:val="00E73030"/>
    <w:rsid w:val="00E7376C"/>
    <w:rsid w:val="00E73F9B"/>
    <w:rsid w:val="00E7436F"/>
    <w:rsid w:val="00E746D2"/>
    <w:rsid w:val="00E75D2C"/>
    <w:rsid w:val="00E76FF1"/>
    <w:rsid w:val="00E80588"/>
    <w:rsid w:val="00E82A98"/>
    <w:rsid w:val="00E83A6D"/>
    <w:rsid w:val="00E84183"/>
    <w:rsid w:val="00E84226"/>
    <w:rsid w:val="00E92482"/>
    <w:rsid w:val="00E955DE"/>
    <w:rsid w:val="00E96ABE"/>
    <w:rsid w:val="00EA3EEC"/>
    <w:rsid w:val="00EA42B4"/>
    <w:rsid w:val="00EA65A5"/>
    <w:rsid w:val="00EA6768"/>
    <w:rsid w:val="00EB3450"/>
    <w:rsid w:val="00EB495F"/>
    <w:rsid w:val="00EB5B58"/>
    <w:rsid w:val="00EB5FE8"/>
    <w:rsid w:val="00EC09BB"/>
    <w:rsid w:val="00EC3096"/>
    <w:rsid w:val="00EC37C5"/>
    <w:rsid w:val="00EC38CE"/>
    <w:rsid w:val="00EC5650"/>
    <w:rsid w:val="00EC5A74"/>
    <w:rsid w:val="00ED0538"/>
    <w:rsid w:val="00ED315A"/>
    <w:rsid w:val="00ED3EB3"/>
    <w:rsid w:val="00ED4D6C"/>
    <w:rsid w:val="00ED60DB"/>
    <w:rsid w:val="00ED67E2"/>
    <w:rsid w:val="00ED7CDE"/>
    <w:rsid w:val="00EE05FA"/>
    <w:rsid w:val="00EE3106"/>
    <w:rsid w:val="00EE3A2A"/>
    <w:rsid w:val="00EE52AE"/>
    <w:rsid w:val="00EE5F72"/>
    <w:rsid w:val="00EE6172"/>
    <w:rsid w:val="00EE6438"/>
    <w:rsid w:val="00EE6B2F"/>
    <w:rsid w:val="00EE7021"/>
    <w:rsid w:val="00EF01EE"/>
    <w:rsid w:val="00EF17C7"/>
    <w:rsid w:val="00EF1EC9"/>
    <w:rsid w:val="00EF3BCB"/>
    <w:rsid w:val="00EF6947"/>
    <w:rsid w:val="00EF6D0E"/>
    <w:rsid w:val="00EF7112"/>
    <w:rsid w:val="00EF74FE"/>
    <w:rsid w:val="00EF7BF9"/>
    <w:rsid w:val="00F040DC"/>
    <w:rsid w:val="00F0447A"/>
    <w:rsid w:val="00F04AE1"/>
    <w:rsid w:val="00F05410"/>
    <w:rsid w:val="00F054E8"/>
    <w:rsid w:val="00F05F5C"/>
    <w:rsid w:val="00F06028"/>
    <w:rsid w:val="00F062ED"/>
    <w:rsid w:val="00F101A8"/>
    <w:rsid w:val="00F11F37"/>
    <w:rsid w:val="00F11FF8"/>
    <w:rsid w:val="00F121DC"/>
    <w:rsid w:val="00F12ABA"/>
    <w:rsid w:val="00F1308D"/>
    <w:rsid w:val="00F13F6D"/>
    <w:rsid w:val="00F16EA8"/>
    <w:rsid w:val="00F204F2"/>
    <w:rsid w:val="00F205EF"/>
    <w:rsid w:val="00F2098B"/>
    <w:rsid w:val="00F21AEF"/>
    <w:rsid w:val="00F21C79"/>
    <w:rsid w:val="00F22712"/>
    <w:rsid w:val="00F25674"/>
    <w:rsid w:val="00F26F23"/>
    <w:rsid w:val="00F274D2"/>
    <w:rsid w:val="00F30D34"/>
    <w:rsid w:val="00F3403F"/>
    <w:rsid w:val="00F34C54"/>
    <w:rsid w:val="00F36817"/>
    <w:rsid w:val="00F36A88"/>
    <w:rsid w:val="00F41C32"/>
    <w:rsid w:val="00F43E9C"/>
    <w:rsid w:val="00F445DD"/>
    <w:rsid w:val="00F451B1"/>
    <w:rsid w:val="00F454D5"/>
    <w:rsid w:val="00F455B4"/>
    <w:rsid w:val="00F467D8"/>
    <w:rsid w:val="00F4681F"/>
    <w:rsid w:val="00F471F7"/>
    <w:rsid w:val="00F51629"/>
    <w:rsid w:val="00F525F5"/>
    <w:rsid w:val="00F52752"/>
    <w:rsid w:val="00F52C39"/>
    <w:rsid w:val="00F52FCC"/>
    <w:rsid w:val="00F5331F"/>
    <w:rsid w:val="00F53DBC"/>
    <w:rsid w:val="00F55113"/>
    <w:rsid w:val="00F56222"/>
    <w:rsid w:val="00F62B77"/>
    <w:rsid w:val="00F66127"/>
    <w:rsid w:val="00F667D7"/>
    <w:rsid w:val="00F66A2D"/>
    <w:rsid w:val="00F66FE3"/>
    <w:rsid w:val="00F67177"/>
    <w:rsid w:val="00F715B3"/>
    <w:rsid w:val="00F7230A"/>
    <w:rsid w:val="00F73E3B"/>
    <w:rsid w:val="00F76728"/>
    <w:rsid w:val="00F7697C"/>
    <w:rsid w:val="00F77865"/>
    <w:rsid w:val="00F77E6D"/>
    <w:rsid w:val="00F80F1E"/>
    <w:rsid w:val="00F80F7E"/>
    <w:rsid w:val="00F8192D"/>
    <w:rsid w:val="00F81E26"/>
    <w:rsid w:val="00F82518"/>
    <w:rsid w:val="00F83539"/>
    <w:rsid w:val="00F84204"/>
    <w:rsid w:val="00F860CC"/>
    <w:rsid w:val="00F86588"/>
    <w:rsid w:val="00F86E13"/>
    <w:rsid w:val="00F87249"/>
    <w:rsid w:val="00F87909"/>
    <w:rsid w:val="00F900E1"/>
    <w:rsid w:val="00F91F2D"/>
    <w:rsid w:val="00F922D8"/>
    <w:rsid w:val="00F9511D"/>
    <w:rsid w:val="00F9563C"/>
    <w:rsid w:val="00F96AB1"/>
    <w:rsid w:val="00F96C97"/>
    <w:rsid w:val="00F974F6"/>
    <w:rsid w:val="00F97F00"/>
    <w:rsid w:val="00FA3934"/>
    <w:rsid w:val="00FB1DBC"/>
    <w:rsid w:val="00FB3697"/>
    <w:rsid w:val="00FB389A"/>
    <w:rsid w:val="00FB67D1"/>
    <w:rsid w:val="00FB7F71"/>
    <w:rsid w:val="00FC033F"/>
    <w:rsid w:val="00FC04AB"/>
    <w:rsid w:val="00FC0589"/>
    <w:rsid w:val="00FC10FC"/>
    <w:rsid w:val="00FC1ADF"/>
    <w:rsid w:val="00FC2231"/>
    <w:rsid w:val="00FC2306"/>
    <w:rsid w:val="00FC301B"/>
    <w:rsid w:val="00FC3ABA"/>
    <w:rsid w:val="00FC4056"/>
    <w:rsid w:val="00FC545C"/>
    <w:rsid w:val="00FC6BD4"/>
    <w:rsid w:val="00FC6EE9"/>
    <w:rsid w:val="00FD0578"/>
    <w:rsid w:val="00FD099F"/>
    <w:rsid w:val="00FD0CA2"/>
    <w:rsid w:val="00FD0CAF"/>
    <w:rsid w:val="00FD271A"/>
    <w:rsid w:val="00FD3581"/>
    <w:rsid w:val="00FD4626"/>
    <w:rsid w:val="00FD5710"/>
    <w:rsid w:val="00FD58DA"/>
    <w:rsid w:val="00FD7AEB"/>
    <w:rsid w:val="00FE1117"/>
    <w:rsid w:val="00FE2682"/>
    <w:rsid w:val="00FE3CBF"/>
    <w:rsid w:val="00FE4EA7"/>
    <w:rsid w:val="00FE5D86"/>
    <w:rsid w:val="00FE6349"/>
    <w:rsid w:val="00FE6412"/>
    <w:rsid w:val="00FE653B"/>
    <w:rsid w:val="00FE6AA8"/>
    <w:rsid w:val="00FF05CB"/>
    <w:rsid w:val="00FF0782"/>
    <w:rsid w:val="00FF1B10"/>
    <w:rsid w:val="00FF2D44"/>
    <w:rsid w:val="00FF30E6"/>
    <w:rsid w:val="00FF31CC"/>
    <w:rsid w:val="00FF3BA8"/>
    <w:rsid w:val="00FF4E2F"/>
    <w:rsid w:val="00FF5193"/>
    <w:rsid w:val="00FF6F4A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88487897346171E-2"/>
          <c:y val="1.6639453810604964E-2"/>
          <c:w val="0.89107447506561677"/>
          <c:h val="0.889779751889988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оценка</c:v>
                </c:pt>
                <c:pt idx="6">
                  <c:v>2019 прогноз</c:v>
                </c:pt>
                <c:pt idx="7">
                  <c:v>2020 прогноз</c:v>
                </c:pt>
                <c:pt idx="8">
                  <c:v>2021 прогноз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4967</c:v>
                </c:pt>
                <c:pt idx="1">
                  <c:v>4713</c:v>
                </c:pt>
                <c:pt idx="2">
                  <c:v>4507</c:v>
                </c:pt>
                <c:pt idx="3">
                  <c:v>4463</c:v>
                </c:pt>
                <c:pt idx="4">
                  <c:v>5035</c:v>
                </c:pt>
                <c:pt idx="5">
                  <c:v>4640</c:v>
                </c:pt>
                <c:pt idx="6">
                  <c:v>4598</c:v>
                </c:pt>
                <c:pt idx="7">
                  <c:v>4535</c:v>
                </c:pt>
                <c:pt idx="8">
                  <c:v>4595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79808"/>
        <c:axId val="28683648"/>
      </c:barChart>
      <c:catAx>
        <c:axId val="1827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83648"/>
        <c:crosses val="autoZero"/>
        <c:auto val="1"/>
        <c:lblAlgn val="ctr"/>
        <c:lblOffset val="100"/>
        <c:noMultiLvlLbl val="0"/>
      </c:catAx>
      <c:valAx>
        <c:axId val="28683648"/>
        <c:scaling>
          <c:orientation val="minMax"/>
          <c:max val="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79808"/>
        <c:crosses val="autoZero"/>
        <c:crossBetween val="between"/>
        <c:majorUnit val="1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"/>
          <c:dLbls>
            <c:dLbl>
              <c:idx val="3"/>
              <c:layout>
                <c:manualLayout>
                  <c:x val="4.0902777777777781E-2"/>
                  <c:y val="-9.469863037721620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4241123505395158E-2"/>
                  <c:y val="1.5719037347503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347349810440368E-2"/>
                  <c:y val="4.4617318158170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НДФЛ 47%</c:v>
                </c:pt>
                <c:pt idx="1">
                  <c:v>Земельный налог 23%</c:v>
                </c:pt>
                <c:pt idx="2">
                  <c:v>ЕНВД 5%</c:v>
                </c:pt>
                <c:pt idx="3">
                  <c:v>Акцизы 1%</c:v>
                </c:pt>
                <c:pt idx="4">
                  <c:v>Налог на имущество 5%</c:v>
                </c:pt>
                <c:pt idx="5">
                  <c:v>Госпошлина 2%</c:v>
                </c:pt>
                <c:pt idx="6">
                  <c:v>Аренда земли 5%</c:v>
                </c:pt>
                <c:pt idx="7">
                  <c:v>Прочие налоговые и неналоговые доходы 12%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0.47</c:v>
                </c:pt>
                <c:pt idx="1">
                  <c:v>0.23</c:v>
                </c:pt>
                <c:pt idx="2">
                  <c:v>0.05</c:v>
                </c:pt>
                <c:pt idx="3" formatCode="0%">
                  <c:v>0.01</c:v>
                </c:pt>
                <c:pt idx="4" formatCode="0%">
                  <c:v>0.05</c:v>
                </c:pt>
                <c:pt idx="5" formatCode="0%">
                  <c:v>0.02</c:v>
                </c:pt>
                <c:pt idx="6" formatCode="0%">
                  <c:v>0.05</c:v>
                </c:pt>
                <c:pt idx="7" formatCode="0%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074657334499855"/>
          <c:y val="3.4629769274386359E-2"/>
          <c:w val="0.30536453776611261"/>
          <c:h val="0.92166739736597525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402057501433004E-2"/>
          <c:y val="3.2057446825081583E-2"/>
          <c:w val="0.91454669728783899"/>
          <c:h val="0.856956782479341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</c:v>
                </c:pt>
              </c:strCache>
            </c:strRef>
          </c:tx>
          <c:spPr>
            <a:ln w="25400" cap="flat">
              <a:solidFill>
                <a:schemeClr val="tx1"/>
              </a:solidFill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Pt>
            <c:idx val="2"/>
            <c:bubble3D val="0"/>
            <c:spPr>
              <a:ln w="25400" cap="flat">
                <a:solidFill>
                  <a:schemeClr val="tx1"/>
                </a:solidFill>
                <a:bevel/>
              </a:ln>
            </c:spPr>
          </c:dPt>
          <c:dPt>
            <c:idx val="4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  <a:effectLst/>
              </c:spPr>
            </c:marker>
            <c:bubble3D val="0"/>
            <c:spPr>
              <a:ln w="25400" cap="flat">
                <a:solidFill>
                  <a:schemeClr val="tx1"/>
                </a:solidFill>
              </a:ln>
              <a:effectLst/>
            </c:spPr>
          </c:dPt>
          <c:dPt>
            <c:idx val="6"/>
            <c:marker>
              <c:spPr>
                <a:solidFill>
                  <a:schemeClr val="tx1"/>
                </a:solidFill>
                <a:ln w="6350" cap="rnd" cmpd="dbl">
                  <a:solidFill>
                    <a:schemeClr val="tx1"/>
                  </a:solidFill>
                  <a:miter lim="800000"/>
                </a:ln>
              </c:spPr>
            </c:marker>
            <c:bubble3D val="0"/>
          </c:dPt>
          <c:dLbls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,9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342293420219024E-2"/>
                  <c:y val="0.10286844708209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оценка</c:v>
                </c:pt>
                <c:pt idx="4">
                  <c:v>2019 прогноз</c:v>
                </c:pt>
                <c:pt idx="5">
                  <c:v>2020 прогноз</c:v>
                </c:pt>
                <c:pt idx="6">
                  <c:v>2021 прогноз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320.5</c:v>
                </c:pt>
                <c:pt idx="1">
                  <c:v>314.89999999999998</c:v>
                </c:pt>
                <c:pt idx="2">
                  <c:v>278.2</c:v>
                </c:pt>
                <c:pt idx="3">
                  <c:v>250</c:v>
                </c:pt>
                <c:pt idx="4">
                  <c:v>247.8</c:v>
                </c:pt>
                <c:pt idx="5">
                  <c:v>245.5</c:v>
                </c:pt>
                <c:pt idx="6">
                  <c:v>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300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оценка</c:v>
                </c:pt>
                <c:pt idx="4">
                  <c:v>2019 прогноз</c:v>
                </c:pt>
                <c:pt idx="5">
                  <c:v>2020 прогноз</c:v>
                </c:pt>
                <c:pt idx="6">
                  <c:v>2021 прогноз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400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 оценка</c:v>
                </c:pt>
                <c:pt idx="4">
                  <c:v>2019 прогноз</c:v>
                </c:pt>
                <c:pt idx="5">
                  <c:v>2020 прогноз</c:v>
                </c:pt>
                <c:pt idx="6">
                  <c:v>2021 прогноз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386304"/>
        <c:axId val="18396288"/>
      </c:lineChart>
      <c:catAx>
        <c:axId val="1838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96288"/>
        <c:crosses val="autoZero"/>
        <c:auto val="1"/>
        <c:lblAlgn val="ctr"/>
        <c:lblOffset val="100"/>
        <c:noMultiLvlLbl val="0"/>
      </c:catAx>
      <c:valAx>
        <c:axId val="18396288"/>
        <c:scaling>
          <c:orientation val="minMax"/>
          <c:min val="0"/>
        </c:scaling>
        <c:delete val="0"/>
        <c:axPos val="l"/>
        <c:majorGridlines>
          <c:spPr>
            <a:effectLst>
              <a:glow rad="127000">
                <a:schemeClr val="tx2">
                  <a:lumMod val="40000"/>
                  <a:lumOff val="60000"/>
                </a:schemeClr>
              </a:glow>
            </a:effectLst>
          </c:spPr>
        </c:majorGridlines>
        <c:numFmt formatCode="General" sourceLinked="1"/>
        <c:majorTickMark val="out"/>
        <c:minorTickMark val="none"/>
        <c:tickLblPos val="nextTo"/>
        <c:crossAx val="18386304"/>
        <c:crosses val="autoZero"/>
        <c:crossBetween val="between"/>
        <c:majorUnit val="100"/>
      </c:valAx>
      <c:spPr>
        <a:solidFill>
          <a:schemeClr val="tx2">
            <a:lumMod val="20000"/>
            <a:lumOff val="80000"/>
          </a:schemeClr>
        </a:solidFill>
        <a:ln>
          <a:gradFill>
            <a:gsLst>
              <a:gs pos="51000">
                <a:schemeClr val="accent1">
                  <a:tint val="66000"/>
                  <a:satMod val="160000"/>
                </a:schemeClr>
              </a:gs>
              <a:gs pos="59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outerShdw blurRad="50800" dist="50800" dir="5400000" algn="ctr" rotWithShape="0">
            <a:schemeClr val="accent1">
              <a:lumMod val="20000"/>
              <a:lumOff val="80000"/>
            </a:schemeClr>
          </a:outerShd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расходов 2019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4865908057200327E-2"/>
          <c:w val="0.61520333881709766"/>
          <c:h val="0.901381103196758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2018 года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3399"/>
              </a:solidFill>
            </c:spPr>
          </c:dPt>
          <c:dPt>
            <c:idx val="2"/>
            <c:bubble3D val="0"/>
            <c:spPr>
              <a:solidFill>
                <a:srgbClr val="008000"/>
              </a:solidFill>
            </c:spPr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chemeClr val="accent2"/>
              </a:solidFill>
            </c:spPr>
          </c:dPt>
          <c:dPt>
            <c:idx val="7"/>
            <c:bubble3D val="0"/>
            <c:spPr>
              <a:solidFill>
                <a:srgbClr val="FF0000"/>
              </a:solidFill>
            </c:spPr>
          </c:dPt>
          <c:dPt>
            <c:idx val="1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178612288848509E-2"/>
                  <c:y val="-2.9846964017676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787367925163203E-2"/>
                  <c:y val="4.7880388753322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511735311932162"/>
                  <c:y val="5.47093993442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6,0%</c:v>
                </c:pt>
                <c:pt idx="1">
                  <c:v>Национальная безопасность и правоохранительная деятельность 0,7%</c:v>
                </c:pt>
                <c:pt idx="2">
                  <c:v>Национальная экономика 20,0%</c:v>
                </c:pt>
                <c:pt idx="3">
                  <c:v>Жилищно-коммунальное хозяйство 7,8%</c:v>
                </c:pt>
                <c:pt idx="4">
                  <c:v>Охрана окружающей среды 0,1%</c:v>
                </c:pt>
                <c:pt idx="5">
                  <c:v>Обраразование 55,8%</c:v>
                </c:pt>
                <c:pt idx="6">
                  <c:v>Культура и кинематография 3,4%</c:v>
                </c:pt>
                <c:pt idx="7">
                  <c:v>Социальная политика 2,4%</c:v>
                </c:pt>
                <c:pt idx="8">
                  <c:v>Физическая культура и спорт 2,0%</c:v>
                </c:pt>
                <c:pt idx="9">
                  <c:v>Средства массовой информации 0,2%</c:v>
                </c:pt>
                <c:pt idx="10">
                  <c:v>Обслуживание государственного и муниципального долга 1,6%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0.06</c:v>
                </c:pt>
                <c:pt idx="1">
                  <c:v>7.0000000000000001E-3</c:v>
                </c:pt>
                <c:pt idx="2">
                  <c:v>0.2</c:v>
                </c:pt>
                <c:pt idx="3">
                  <c:v>7.8E-2</c:v>
                </c:pt>
                <c:pt idx="4">
                  <c:v>1E-3</c:v>
                </c:pt>
                <c:pt idx="5">
                  <c:v>0.55800000000000005</c:v>
                </c:pt>
                <c:pt idx="6">
                  <c:v>3.4000000000000002E-2</c:v>
                </c:pt>
                <c:pt idx="7">
                  <c:v>2.4E-2</c:v>
                </c:pt>
                <c:pt idx="8">
                  <c:v>0.02</c:v>
                </c:pt>
                <c:pt idx="9">
                  <c:v>2E-3</c:v>
                </c:pt>
                <c:pt idx="1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29833"/>
          <c:y val="8.9545627146368226E-2"/>
          <c:w val="0.33861001749781278"/>
          <c:h val="0.8950475069789567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муниципальный долг</c:v>
                </c:pt>
              </c:strCache>
            </c:strRef>
          </c:tx>
          <c:dLbls>
            <c:dLbl>
              <c:idx val="1"/>
              <c:layout>
                <c:manualLayout>
                  <c:x val="-1.3377926421404682E-2"/>
                  <c:y val="-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59308807134894E-3"/>
                  <c:y val="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3377926421404682E-2"/>
                  <c:y val="4.0854224698235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755852842809364E-2"/>
                  <c:y val="3.71402042711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3377926421404682E-2"/>
                  <c:y val="3.3426183844011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1800</c:v>
                </c:pt>
                <c:pt idx="1">
                  <c:v>2050</c:v>
                </c:pt>
                <c:pt idx="2">
                  <c:v>1950</c:v>
                </c:pt>
                <c:pt idx="3">
                  <c:v>2217</c:v>
                </c:pt>
                <c:pt idx="4">
                  <c:v>2517</c:v>
                </c:pt>
                <c:pt idx="5">
                  <c:v>2817</c:v>
                </c:pt>
                <c:pt idx="6">
                  <c:v>2967</c:v>
                </c:pt>
                <c:pt idx="7">
                  <c:v>3066</c:v>
                </c:pt>
                <c:pt idx="8">
                  <c:v>2563</c:v>
                </c:pt>
                <c:pt idx="9">
                  <c:v>2767</c:v>
                </c:pt>
                <c:pt idx="10">
                  <c:v>2487</c:v>
                </c:pt>
                <c:pt idx="11">
                  <c:v>2730</c:v>
                </c:pt>
                <c:pt idx="12">
                  <c:v>2730</c:v>
                </c:pt>
                <c:pt idx="13">
                  <c:v>2280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заимствования</c:v>
                </c:pt>
              </c:strCache>
            </c:strRef>
          </c:tx>
          <c:dLbls>
            <c:dLbl>
              <c:idx val="1"/>
              <c:layout>
                <c:manualLayout>
                  <c:x val="-6.688963210702341E-3"/>
                  <c:y val="4.45682451253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918617614269788E-3"/>
                  <c:y val="4.45682451253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837235228539576E-2"/>
                  <c:y val="2.599814298978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526198439241916E-2"/>
                  <c:y val="3.7140204271123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755852842809364E-2"/>
                  <c:y val="5.1996285979572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8985507246376729E-2"/>
                  <c:y val="5.571030640668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3377926421404682E-2"/>
                  <c:y val="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0066889632107024E-2"/>
                  <c:y val="4.828226555246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3377926421404682E-2"/>
                  <c:y val="3.7140204271123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600</c:v>
                </c:pt>
                <c:pt idx="1">
                  <c:v>850</c:v>
                </c:pt>
                <c:pt idx="2">
                  <c:v>750</c:v>
                </c:pt>
                <c:pt idx="3">
                  <c:v>600</c:v>
                </c:pt>
                <c:pt idx="4">
                  <c:v>900</c:v>
                </c:pt>
                <c:pt idx="5">
                  <c:v>1150</c:v>
                </c:pt>
                <c:pt idx="6">
                  <c:v>1300</c:v>
                </c:pt>
                <c:pt idx="7">
                  <c:v>1400</c:v>
                </c:pt>
                <c:pt idx="8">
                  <c:v>1256</c:v>
                </c:pt>
                <c:pt idx="9">
                  <c:v>1307</c:v>
                </c:pt>
                <c:pt idx="10">
                  <c:v>1700</c:v>
                </c:pt>
                <c:pt idx="11">
                  <c:v>2037</c:v>
                </c:pt>
                <c:pt idx="12">
                  <c:v>2280</c:v>
                </c:pt>
                <c:pt idx="13">
                  <c:v>2280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Муниципальные гарантии</c:v>
                </c:pt>
              </c:strCache>
            </c:strRef>
          </c:tx>
          <c:dLbls>
            <c:dLbl>
              <c:idx val="0"/>
              <c:layout>
                <c:manualLayout>
                  <c:x val="-1.3377926421404682E-2"/>
                  <c:y val="4.4568245125348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3426183844011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18617614269788E-3"/>
                  <c:y val="4.45682451253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688963210702341E-3"/>
                  <c:y val="3.7140204271123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88963210702341E-3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066889632107024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688963210702341E-3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1148272017837236E-2"/>
                  <c:y val="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560758082497213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1200</c:v>
                </c:pt>
                <c:pt idx="1">
                  <c:v>1200</c:v>
                </c:pt>
                <c:pt idx="2">
                  <c:v>1200</c:v>
                </c:pt>
                <c:pt idx="3">
                  <c:v>1667</c:v>
                </c:pt>
                <c:pt idx="4">
                  <c:v>1667</c:v>
                </c:pt>
                <c:pt idx="5">
                  <c:v>1667</c:v>
                </c:pt>
                <c:pt idx="6">
                  <c:v>1667</c:v>
                </c:pt>
                <c:pt idx="7">
                  <c:v>1666</c:v>
                </c:pt>
                <c:pt idx="8">
                  <c:v>1307</c:v>
                </c:pt>
                <c:pt idx="9">
                  <c:v>1067</c:v>
                </c:pt>
                <c:pt idx="10">
                  <c:v>450</c:v>
                </c:pt>
                <c:pt idx="11">
                  <c:v>450</c:v>
                </c:pt>
                <c:pt idx="12">
                  <c:v>450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81504"/>
        <c:axId val="68983040"/>
      </c:lineChart>
      <c:catAx>
        <c:axId val="6898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983040"/>
        <c:crosses val="autoZero"/>
        <c:auto val="1"/>
        <c:lblAlgn val="ctr"/>
        <c:lblOffset val="100"/>
        <c:noMultiLvlLbl val="0"/>
      </c:catAx>
      <c:valAx>
        <c:axId val="689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981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856178512802955"/>
          <c:y val="0.8489662886846665"/>
          <c:w val="0.72287642974394084"/>
          <c:h val="0.15103371131533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9790-E149-4EB9-ADF8-23263B47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30</Pages>
  <Words>9925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SP_Priem</cp:lastModifiedBy>
  <cp:revision>261</cp:revision>
  <cp:lastPrinted>2018-11-21T13:19:00Z</cp:lastPrinted>
  <dcterms:created xsi:type="dcterms:W3CDTF">2017-11-02T12:43:00Z</dcterms:created>
  <dcterms:modified xsi:type="dcterms:W3CDTF">2018-11-21T13:46:00Z</dcterms:modified>
</cp:coreProperties>
</file>