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06" w:rsidRDefault="002F2E06" w:rsidP="002F2E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общественной приемной</w:t>
      </w:r>
    </w:p>
    <w:p w:rsidR="002F2E06" w:rsidRDefault="002F2E06" w:rsidP="002F2E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Липецкого городского Совета депутатов</w:t>
      </w:r>
    </w:p>
    <w:p w:rsidR="002F2E06" w:rsidRDefault="002F2E06" w:rsidP="002F2E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 году</w:t>
      </w:r>
    </w:p>
    <w:p w:rsidR="005B57BF" w:rsidRDefault="005B57BF" w:rsidP="002F2E06">
      <w:pPr>
        <w:ind w:firstLine="709"/>
        <w:jc w:val="center"/>
        <w:rPr>
          <w:b/>
          <w:sz w:val="28"/>
          <w:szCs w:val="28"/>
        </w:rPr>
      </w:pPr>
    </w:p>
    <w:p w:rsidR="005B57BF" w:rsidRPr="00AF6DA1" w:rsidRDefault="005B57BF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Pr="00907D5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г</w:t>
      </w:r>
      <w:r w:rsidRPr="00C8320B">
        <w:rPr>
          <w:sz w:val="28"/>
          <w:szCs w:val="28"/>
        </w:rPr>
        <w:t xml:space="preserve">раждане, а также объединения граждан, </w:t>
      </w:r>
      <w:r>
        <w:rPr>
          <w:sz w:val="28"/>
          <w:szCs w:val="28"/>
        </w:rPr>
        <w:t xml:space="preserve">в том числе </w:t>
      </w:r>
      <w:r w:rsidRPr="00C8320B">
        <w:rPr>
          <w:sz w:val="28"/>
          <w:szCs w:val="28"/>
        </w:rPr>
        <w:t>юридические лица</w:t>
      </w:r>
      <w:r>
        <w:rPr>
          <w:sz w:val="28"/>
          <w:szCs w:val="28"/>
        </w:rPr>
        <w:t>,</w:t>
      </w:r>
      <w:r w:rsidRPr="00C8320B">
        <w:rPr>
          <w:sz w:val="28"/>
          <w:szCs w:val="28"/>
        </w:rPr>
        <w:t xml:space="preserve"> обращались</w:t>
      </w:r>
      <w:r>
        <w:rPr>
          <w:sz w:val="28"/>
          <w:szCs w:val="28"/>
        </w:rPr>
        <w:t xml:space="preserve"> </w:t>
      </w:r>
      <w:r w:rsidR="00A22966">
        <w:rPr>
          <w:sz w:val="28"/>
          <w:szCs w:val="28"/>
        </w:rPr>
        <w:t>в Липецкий городской Совет</w:t>
      </w:r>
      <w:r>
        <w:rPr>
          <w:sz w:val="28"/>
          <w:szCs w:val="28"/>
        </w:rPr>
        <w:t xml:space="preserve"> депутат</w:t>
      </w:r>
      <w:r w:rsidR="00A22966">
        <w:rPr>
          <w:sz w:val="28"/>
          <w:szCs w:val="28"/>
        </w:rPr>
        <w:t>ов</w:t>
      </w:r>
      <w:r w:rsidRPr="00C8320B">
        <w:rPr>
          <w:sz w:val="28"/>
          <w:szCs w:val="28"/>
        </w:rPr>
        <w:t xml:space="preserve"> письменно и устно</w:t>
      </w:r>
      <w:r>
        <w:rPr>
          <w:sz w:val="28"/>
          <w:szCs w:val="28"/>
        </w:rPr>
        <w:t>.</w:t>
      </w:r>
    </w:p>
    <w:p w:rsidR="002F2E06" w:rsidRPr="005B57BF" w:rsidRDefault="002F2E06" w:rsidP="00A22966">
      <w:pPr>
        <w:spacing w:line="276" w:lineRule="auto"/>
        <w:ind w:firstLine="567"/>
        <w:jc w:val="both"/>
        <w:rPr>
          <w:sz w:val="28"/>
          <w:szCs w:val="28"/>
        </w:rPr>
      </w:pPr>
      <w:r w:rsidRPr="002764E4">
        <w:rPr>
          <w:sz w:val="28"/>
          <w:szCs w:val="28"/>
        </w:rPr>
        <w:t xml:space="preserve">За отчетный период общественной приемной городского Совета депутатов получено </w:t>
      </w:r>
      <w:r w:rsidRPr="002764E4">
        <w:rPr>
          <w:b/>
          <w:sz w:val="28"/>
          <w:szCs w:val="28"/>
        </w:rPr>
        <w:t xml:space="preserve">2522 </w:t>
      </w:r>
      <w:r w:rsidR="00816B65">
        <w:rPr>
          <w:rFonts w:eastAsia="Calibri"/>
          <w:sz w:val="28"/>
          <w:szCs w:val="28"/>
        </w:rPr>
        <w:t>обращения</w:t>
      </w:r>
      <w:r w:rsidRPr="002764E4">
        <w:rPr>
          <w:sz w:val="28"/>
          <w:szCs w:val="28"/>
        </w:rPr>
        <w:t xml:space="preserve">. </w:t>
      </w:r>
      <w:r w:rsidR="00AF6DA1">
        <w:rPr>
          <w:sz w:val="28"/>
          <w:szCs w:val="28"/>
        </w:rPr>
        <w:t xml:space="preserve">Из них по телефону и лично граждане обратились 1844 раза. </w:t>
      </w:r>
      <w:r w:rsidR="005B57BF">
        <w:rPr>
          <w:sz w:val="28"/>
          <w:szCs w:val="28"/>
        </w:rPr>
        <w:t>По этим  обращениям,  не требующим письменного ответа,  предоставлялась  справочная информация  и устные  разъяснения.</w:t>
      </w:r>
    </w:p>
    <w:p w:rsidR="002F2E06" w:rsidRDefault="002F2E06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зарегистрировано </w:t>
      </w:r>
      <w:r w:rsidRPr="002764E4">
        <w:rPr>
          <w:b/>
          <w:sz w:val="28"/>
          <w:szCs w:val="28"/>
        </w:rPr>
        <w:t xml:space="preserve">678 </w:t>
      </w:r>
      <w:r w:rsidRPr="002764E4">
        <w:rPr>
          <w:sz w:val="28"/>
          <w:szCs w:val="28"/>
        </w:rPr>
        <w:t>обращений</w:t>
      </w:r>
      <w:r w:rsidR="009D672D">
        <w:rPr>
          <w:sz w:val="28"/>
          <w:szCs w:val="28"/>
        </w:rPr>
        <w:t xml:space="preserve"> к председателю, заместителям председателя и депутатам городского Совета</w:t>
      </w:r>
      <w:r>
        <w:rPr>
          <w:sz w:val="28"/>
          <w:szCs w:val="28"/>
        </w:rPr>
        <w:t>. Поступило</w:t>
      </w:r>
      <w:r w:rsidRPr="00D34CA6">
        <w:rPr>
          <w:sz w:val="28"/>
          <w:szCs w:val="28"/>
        </w:rPr>
        <w:t xml:space="preserve"> 188 </w:t>
      </w:r>
      <w:r>
        <w:rPr>
          <w:sz w:val="28"/>
          <w:szCs w:val="28"/>
        </w:rPr>
        <w:t xml:space="preserve">обращений </w:t>
      </w:r>
      <w:r w:rsidRPr="00D34CA6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 xml:space="preserve"> и через </w:t>
      </w:r>
      <w:r w:rsidR="004E17EA">
        <w:rPr>
          <w:sz w:val="28"/>
          <w:szCs w:val="28"/>
        </w:rPr>
        <w:t>интернет-приемную</w:t>
      </w:r>
      <w:r w:rsidRPr="00D34CA6">
        <w:rPr>
          <w:sz w:val="28"/>
          <w:szCs w:val="28"/>
        </w:rPr>
        <w:t xml:space="preserve">. Доля электронных обращений </w:t>
      </w:r>
      <w:r w:rsidR="00A22966">
        <w:rPr>
          <w:sz w:val="28"/>
          <w:szCs w:val="28"/>
        </w:rPr>
        <w:t xml:space="preserve">традиционно растет, </w:t>
      </w:r>
      <w:r w:rsidRPr="00D34CA6">
        <w:rPr>
          <w:sz w:val="28"/>
          <w:szCs w:val="28"/>
        </w:rPr>
        <w:t xml:space="preserve">в отчетном году </w:t>
      </w:r>
      <w:r w:rsidR="00A22966" w:rsidRPr="001A6FE8">
        <w:rPr>
          <w:i/>
          <w:sz w:val="28"/>
          <w:szCs w:val="28"/>
        </w:rPr>
        <w:t xml:space="preserve"> – </w:t>
      </w:r>
      <w:r w:rsidR="004E17EA">
        <w:rPr>
          <w:sz w:val="28"/>
          <w:szCs w:val="28"/>
        </w:rPr>
        <w:t xml:space="preserve"> </w:t>
      </w:r>
      <w:r w:rsidRPr="00D34CA6">
        <w:rPr>
          <w:sz w:val="28"/>
          <w:szCs w:val="28"/>
        </w:rPr>
        <w:t xml:space="preserve">на 9% </w:t>
      </w:r>
      <w:r w:rsidR="004E17EA">
        <w:rPr>
          <w:sz w:val="28"/>
          <w:szCs w:val="28"/>
        </w:rPr>
        <w:t>от</w:t>
      </w:r>
      <w:r w:rsidRPr="00D34CA6">
        <w:rPr>
          <w:sz w:val="28"/>
          <w:szCs w:val="28"/>
        </w:rPr>
        <w:t xml:space="preserve"> уровня 2017 года</w:t>
      </w:r>
      <w:r>
        <w:rPr>
          <w:sz w:val="28"/>
          <w:szCs w:val="28"/>
        </w:rPr>
        <w:t xml:space="preserve">, </w:t>
      </w:r>
      <w:r w:rsidR="004E17E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4E17EA">
        <w:rPr>
          <w:sz w:val="28"/>
          <w:szCs w:val="28"/>
        </w:rPr>
        <w:t>связано с</w:t>
      </w:r>
      <w:r>
        <w:rPr>
          <w:sz w:val="28"/>
          <w:szCs w:val="28"/>
        </w:rPr>
        <w:t xml:space="preserve"> общей компьютеризацией населения.    </w:t>
      </w:r>
    </w:p>
    <w:p w:rsidR="005B57BF" w:rsidRPr="007D0489" w:rsidRDefault="005B57BF" w:rsidP="00A22966">
      <w:pPr>
        <w:spacing w:line="276" w:lineRule="auto"/>
        <w:ind w:firstLine="709"/>
        <w:jc w:val="both"/>
        <w:rPr>
          <w:sz w:val="28"/>
          <w:szCs w:val="28"/>
        </w:rPr>
      </w:pPr>
      <w:r w:rsidRPr="007D0489">
        <w:rPr>
          <w:sz w:val="28"/>
          <w:szCs w:val="28"/>
        </w:rPr>
        <w:t>Как и в предыдущие годы, граждане преимущественно обращались индивидуально –  630 обращений; несколько возросло количество коллекти</w:t>
      </w:r>
      <w:r>
        <w:rPr>
          <w:sz w:val="28"/>
          <w:szCs w:val="28"/>
        </w:rPr>
        <w:t xml:space="preserve">вных обращений </w:t>
      </w:r>
      <w:r w:rsidRPr="007D0489">
        <w:rPr>
          <w:sz w:val="28"/>
          <w:szCs w:val="28"/>
        </w:rPr>
        <w:t>–</w:t>
      </w:r>
      <w:r>
        <w:rPr>
          <w:sz w:val="28"/>
          <w:szCs w:val="28"/>
        </w:rPr>
        <w:t xml:space="preserve"> с 24 в 2017 году до 43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отчетном.</w:t>
      </w:r>
      <w:r w:rsidRPr="007D0489">
        <w:rPr>
          <w:sz w:val="28"/>
          <w:szCs w:val="28"/>
        </w:rPr>
        <w:tab/>
      </w:r>
      <w:r w:rsidRPr="007D0489">
        <w:rPr>
          <w:sz w:val="28"/>
          <w:szCs w:val="28"/>
        </w:rPr>
        <w:tab/>
      </w:r>
    </w:p>
    <w:p w:rsidR="005B57BF" w:rsidRDefault="005B57BF" w:rsidP="00A22966">
      <w:pPr>
        <w:spacing w:line="276" w:lineRule="auto"/>
        <w:ind w:firstLine="709"/>
        <w:jc w:val="both"/>
        <w:rPr>
          <w:sz w:val="28"/>
          <w:szCs w:val="28"/>
        </w:rPr>
      </w:pPr>
      <w:r w:rsidRPr="007D0489">
        <w:rPr>
          <w:sz w:val="28"/>
          <w:szCs w:val="28"/>
        </w:rPr>
        <w:t>В течение 2018 г</w:t>
      </w:r>
      <w:r>
        <w:rPr>
          <w:sz w:val="28"/>
          <w:szCs w:val="28"/>
        </w:rPr>
        <w:t>ода</w:t>
      </w:r>
      <w:r w:rsidRPr="007D0489">
        <w:rPr>
          <w:sz w:val="28"/>
          <w:szCs w:val="28"/>
        </w:rPr>
        <w:t xml:space="preserve"> </w:t>
      </w:r>
      <w:r w:rsidRPr="0036046B">
        <w:rPr>
          <w:sz w:val="28"/>
          <w:szCs w:val="28"/>
        </w:rPr>
        <w:t>в</w:t>
      </w:r>
      <w:r w:rsidRPr="007D0489">
        <w:rPr>
          <w:i/>
          <w:sz w:val="28"/>
          <w:szCs w:val="28"/>
        </w:rPr>
        <w:t xml:space="preserve"> </w:t>
      </w:r>
      <w:r w:rsidRPr="0036046B">
        <w:rPr>
          <w:sz w:val="28"/>
          <w:szCs w:val="28"/>
        </w:rPr>
        <w:t>адрес председателя городского Совета</w:t>
      </w:r>
      <w:r>
        <w:rPr>
          <w:sz w:val="28"/>
          <w:szCs w:val="28"/>
        </w:rPr>
        <w:t xml:space="preserve"> </w:t>
      </w:r>
      <w:r w:rsidRPr="001A6FE8">
        <w:rPr>
          <w:i/>
          <w:sz w:val="28"/>
          <w:szCs w:val="28"/>
        </w:rPr>
        <w:t xml:space="preserve">– </w:t>
      </w:r>
      <w:proofErr w:type="spellStart"/>
      <w:r>
        <w:rPr>
          <w:b/>
          <w:i/>
          <w:sz w:val="28"/>
          <w:szCs w:val="28"/>
        </w:rPr>
        <w:t>И.В.Тинькова</w:t>
      </w:r>
      <w:proofErr w:type="spellEnd"/>
      <w:r>
        <w:rPr>
          <w:b/>
          <w:i/>
          <w:sz w:val="28"/>
          <w:szCs w:val="28"/>
        </w:rPr>
        <w:t xml:space="preserve"> </w:t>
      </w:r>
      <w:r w:rsidRPr="007D0489">
        <w:rPr>
          <w:sz w:val="28"/>
          <w:szCs w:val="28"/>
        </w:rPr>
        <w:t xml:space="preserve">поступило и </w:t>
      </w:r>
      <w:r w:rsidR="00A22966">
        <w:rPr>
          <w:sz w:val="28"/>
          <w:szCs w:val="28"/>
        </w:rPr>
        <w:t xml:space="preserve">зарегистрировано 381 обращение </w:t>
      </w:r>
      <w:r w:rsidRPr="007D0489">
        <w:rPr>
          <w:sz w:val="28"/>
          <w:szCs w:val="28"/>
        </w:rPr>
        <w:t>(</w:t>
      </w:r>
      <w:r>
        <w:rPr>
          <w:sz w:val="28"/>
          <w:szCs w:val="28"/>
        </w:rPr>
        <w:t>из них</w:t>
      </w:r>
      <w:r w:rsidRPr="007D0489">
        <w:rPr>
          <w:sz w:val="28"/>
          <w:szCs w:val="28"/>
        </w:rPr>
        <w:t xml:space="preserve"> 107 –</w:t>
      </w:r>
      <w:r>
        <w:rPr>
          <w:sz w:val="28"/>
          <w:szCs w:val="28"/>
        </w:rPr>
        <w:t xml:space="preserve"> по электронным каналам связи).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A1A67">
        <w:rPr>
          <w:sz w:val="28"/>
          <w:szCs w:val="28"/>
        </w:rPr>
        <w:t xml:space="preserve"> перво</w:t>
      </w:r>
      <w:r>
        <w:rPr>
          <w:sz w:val="28"/>
          <w:szCs w:val="28"/>
        </w:rPr>
        <w:t>му</w:t>
      </w:r>
      <w:r w:rsidRPr="00CA1A67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ю</w:t>
      </w:r>
      <w:r w:rsidRPr="00CA1A67">
        <w:rPr>
          <w:sz w:val="28"/>
          <w:szCs w:val="28"/>
        </w:rPr>
        <w:t xml:space="preserve"> председателя</w:t>
      </w:r>
      <w:r w:rsidRPr="001A6FE8">
        <w:rPr>
          <w:i/>
          <w:sz w:val="28"/>
          <w:szCs w:val="28"/>
        </w:rPr>
        <w:t xml:space="preserve"> – </w:t>
      </w:r>
      <w:r w:rsidRPr="001A6FE8">
        <w:rPr>
          <w:b/>
          <w:i/>
          <w:sz w:val="28"/>
          <w:szCs w:val="28"/>
        </w:rPr>
        <w:t xml:space="preserve">Ф.А. </w:t>
      </w:r>
      <w:proofErr w:type="spellStart"/>
      <w:r w:rsidRPr="001A6FE8">
        <w:rPr>
          <w:b/>
          <w:i/>
          <w:sz w:val="28"/>
          <w:szCs w:val="28"/>
        </w:rPr>
        <w:t>Жигаров</w:t>
      </w:r>
      <w:r>
        <w:rPr>
          <w:b/>
          <w:i/>
          <w:sz w:val="28"/>
          <w:szCs w:val="28"/>
        </w:rPr>
        <w:t>у</w:t>
      </w:r>
      <w:proofErr w:type="spellEnd"/>
      <w:r w:rsidRPr="0061679D"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поступило</w:t>
      </w:r>
      <w:r w:rsidRPr="001A6FE8">
        <w:rPr>
          <w:sz w:val="28"/>
          <w:szCs w:val="28"/>
        </w:rPr>
        <w:t xml:space="preserve"> 77 обращени</w:t>
      </w:r>
      <w:r>
        <w:rPr>
          <w:sz w:val="28"/>
          <w:szCs w:val="28"/>
        </w:rPr>
        <w:t>й</w:t>
      </w:r>
      <w:r w:rsidR="00A22966">
        <w:rPr>
          <w:sz w:val="28"/>
          <w:szCs w:val="28"/>
        </w:rPr>
        <w:t xml:space="preserve"> </w:t>
      </w:r>
      <w:r w:rsidRPr="001A6FE8">
        <w:rPr>
          <w:sz w:val="28"/>
          <w:szCs w:val="28"/>
        </w:rPr>
        <w:t xml:space="preserve">(в </w:t>
      </w:r>
      <w:proofErr w:type="spellStart"/>
      <w:r w:rsidRPr="001A6FE8">
        <w:rPr>
          <w:sz w:val="28"/>
          <w:szCs w:val="28"/>
        </w:rPr>
        <w:t>т.ч</w:t>
      </w:r>
      <w:proofErr w:type="spellEnd"/>
      <w:r w:rsidRPr="001A6FE8">
        <w:rPr>
          <w:sz w:val="28"/>
          <w:szCs w:val="28"/>
        </w:rPr>
        <w:t>. 18 – по электронным к</w:t>
      </w:r>
      <w:r>
        <w:rPr>
          <w:sz w:val="28"/>
          <w:szCs w:val="28"/>
        </w:rPr>
        <w:t>аналам связи)</w:t>
      </w:r>
      <w:r>
        <w:rPr>
          <w:sz w:val="28"/>
          <w:szCs w:val="28"/>
        </w:rPr>
        <w:t>.</w:t>
      </w:r>
      <w:r w:rsidRPr="001A6FE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A1A67">
        <w:rPr>
          <w:sz w:val="28"/>
          <w:szCs w:val="28"/>
        </w:rPr>
        <w:t xml:space="preserve"> председателю </w:t>
      </w:r>
      <w:r>
        <w:rPr>
          <w:sz w:val="28"/>
          <w:szCs w:val="28"/>
        </w:rPr>
        <w:t>постоянной комиссии</w:t>
      </w:r>
      <w:r w:rsidRPr="00CA1A67">
        <w:rPr>
          <w:sz w:val="28"/>
          <w:szCs w:val="28"/>
        </w:rPr>
        <w:t xml:space="preserve"> по транспорту, депутату по избирательному округу № 24 –</w:t>
      </w:r>
      <w:r w:rsidRPr="001A6FE8">
        <w:rPr>
          <w:b/>
          <w:i/>
          <w:sz w:val="28"/>
          <w:szCs w:val="28"/>
        </w:rPr>
        <w:t xml:space="preserve"> Б.А. Бондареву</w:t>
      </w:r>
      <w:r w:rsidRPr="00F64DC9">
        <w:rPr>
          <w:sz w:val="28"/>
          <w:szCs w:val="28"/>
        </w:rPr>
        <w:t>,</w:t>
      </w:r>
      <w:r w:rsidRPr="001A6F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поступило 19 обращений. К</w:t>
      </w:r>
      <w:r w:rsidRPr="00CA1A67">
        <w:rPr>
          <w:sz w:val="28"/>
          <w:szCs w:val="28"/>
        </w:rPr>
        <w:t xml:space="preserve"> заместителю председателя </w:t>
      </w:r>
      <w:r w:rsidR="00E17F87">
        <w:rPr>
          <w:sz w:val="28"/>
          <w:szCs w:val="28"/>
        </w:rPr>
        <w:t>постоянной комиссии</w:t>
      </w:r>
      <w:r w:rsidRPr="00CA1A67">
        <w:rPr>
          <w:sz w:val="28"/>
          <w:szCs w:val="28"/>
        </w:rPr>
        <w:t xml:space="preserve"> по жилищно-коммунальному хозяйству, градостроительству и землепользованию –</w:t>
      </w:r>
      <w:r w:rsidRPr="00931B22">
        <w:rPr>
          <w:b/>
          <w:i/>
          <w:sz w:val="28"/>
          <w:szCs w:val="28"/>
        </w:rPr>
        <w:t xml:space="preserve"> </w:t>
      </w:r>
      <w:proofErr w:type="spellStart"/>
      <w:r w:rsidRPr="00931B22">
        <w:rPr>
          <w:b/>
          <w:i/>
          <w:sz w:val="28"/>
          <w:szCs w:val="28"/>
        </w:rPr>
        <w:t>Яськовой</w:t>
      </w:r>
      <w:proofErr w:type="spellEnd"/>
      <w:r w:rsidRPr="00931B22">
        <w:rPr>
          <w:b/>
          <w:i/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зарегистрировано 14 обращений.</w:t>
      </w:r>
      <w:r>
        <w:rPr>
          <w:sz w:val="28"/>
          <w:szCs w:val="28"/>
        </w:rPr>
        <w:t xml:space="preserve"> </w:t>
      </w:r>
      <w:r w:rsidRPr="00931B22">
        <w:rPr>
          <w:sz w:val="28"/>
          <w:szCs w:val="28"/>
        </w:rPr>
        <w:t xml:space="preserve">К остальным депутатам </w:t>
      </w:r>
      <w:r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187 обращений</w:t>
      </w:r>
      <w:r w:rsidRPr="007D0489">
        <w:rPr>
          <w:sz w:val="28"/>
          <w:szCs w:val="28"/>
        </w:rPr>
        <w:t>.</w:t>
      </w:r>
      <w:r w:rsidRPr="007D0489">
        <w:rPr>
          <w:sz w:val="28"/>
          <w:szCs w:val="28"/>
        </w:rPr>
        <w:tab/>
      </w:r>
    </w:p>
    <w:p w:rsidR="005B57BF" w:rsidRDefault="005B57BF" w:rsidP="00A22966">
      <w:pPr>
        <w:spacing w:line="276" w:lineRule="auto"/>
        <w:ind w:firstLine="709"/>
        <w:jc w:val="both"/>
        <w:rPr>
          <w:sz w:val="28"/>
          <w:szCs w:val="28"/>
        </w:rPr>
      </w:pPr>
      <w:r w:rsidRPr="007D0489">
        <w:rPr>
          <w:sz w:val="28"/>
          <w:szCs w:val="28"/>
        </w:rPr>
        <w:tab/>
      </w:r>
      <w:r w:rsidRPr="007D0489">
        <w:rPr>
          <w:sz w:val="28"/>
          <w:szCs w:val="28"/>
        </w:rPr>
        <w:tab/>
      </w:r>
      <w:r w:rsidRPr="007D0489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 </w:t>
      </w:r>
    </w:p>
    <w:p w:rsidR="005B57BF" w:rsidRPr="0061679D" w:rsidRDefault="005B57BF" w:rsidP="00A22966">
      <w:pPr>
        <w:spacing w:line="276" w:lineRule="auto"/>
        <w:ind w:firstLine="709"/>
        <w:jc w:val="both"/>
        <w:rPr>
          <w:sz w:val="8"/>
          <w:szCs w:val="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</w:tblGrid>
      <w:tr w:rsidR="005B57BF" w:rsidTr="00252FC3">
        <w:tc>
          <w:tcPr>
            <w:tcW w:w="6521" w:type="dxa"/>
          </w:tcPr>
          <w:p w:rsidR="005B57BF" w:rsidRPr="0036046B" w:rsidRDefault="005B57BF" w:rsidP="00A2296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6046B">
              <w:rPr>
                <w:b/>
                <w:sz w:val="28"/>
                <w:szCs w:val="28"/>
              </w:rPr>
              <w:t>Адресат</w:t>
            </w:r>
          </w:p>
        </w:tc>
        <w:tc>
          <w:tcPr>
            <w:tcW w:w="2126" w:type="dxa"/>
          </w:tcPr>
          <w:p w:rsidR="005B57BF" w:rsidRPr="007D0489" w:rsidRDefault="005B57BF" w:rsidP="00A2296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0489">
              <w:rPr>
                <w:rFonts w:eastAsia="Calibri"/>
                <w:b/>
                <w:sz w:val="28"/>
                <w:szCs w:val="28"/>
              </w:rPr>
              <w:t>2018 год</w:t>
            </w:r>
          </w:p>
        </w:tc>
      </w:tr>
      <w:tr w:rsidR="005B57BF" w:rsidTr="00252FC3">
        <w:tc>
          <w:tcPr>
            <w:tcW w:w="6521" w:type="dxa"/>
          </w:tcPr>
          <w:p w:rsidR="005B57BF" w:rsidRPr="007D0489" w:rsidRDefault="005B57BF" w:rsidP="00A229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0489">
              <w:rPr>
                <w:sz w:val="28"/>
                <w:szCs w:val="28"/>
              </w:rPr>
              <w:t>Тиньков И.В.</w:t>
            </w:r>
          </w:p>
        </w:tc>
        <w:tc>
          <w:tcPr>
            <w:tcW w:w="2126" w:type="dxa"/>
          </w:tcPr>
          <w:p w:rsidR="005B57BF" w:rsidRPr="007D0489" w:rsidRDefault="005B57BF" w:rsidP="00A229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0489">
              <w:rPr>
                <w:sz w:val="28"/>
                <w:szCs w:val="28"/>
              </w:rPr>
              <w:t>381</w:t>
            </w:r>
          </w:p>
        </w:tc>
      </w:tr>
      <w:tr w:rsidR="005B57BF" w:rsidTr="00252FC3">
        <w:tc>
          <w:tcPr>
            <w:tcW w:w="6521" w:type="dxa"/>
          </w:tcPr>
          <w:p w:rsidR="005B57BF" w:rsidRPr="007D0489" w:rsidRDefault="005B57BF" w:rsidP="00A229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0489">
              <w:rPr>
                <w:sz w:val="28"/>
                <w:szCs w:val="28"/>
              </w:rPr>
              <w:t>Жигаров Ф.А.</w:t>
            </w:r>
          </w:p>
        </w:tc>
        <w:tc>
          <w:tcPr>
            <w:tcW w:w="2126" w:type="dxa"/>
          </w:tcPr>
          <w:p w:rsidR="005B57BF" w:rsidRPr="007D0489" w:rsidRDefault="005B57BF" w:rsidP="00A229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5B57BF" w:rsidTr="00252FC3">
        <w:tc>
          <w:tcPr>
            <w:tcW w:w="6521" w:type="dxa"/>
          </w:tcPr>
          <w:p w:rsidR="005B57BF" w:rsidRPr="007D0489" w:rsidRDefault="005B57BF" w:rsidP="00A229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0489">
              <w:rPr>
                <w:sz w:val="28"/>
                <w:szCs w:val="28"/>
              </w:rPr>
              <w:t>Бондарев Б.А.</w:t>
            </w:r>
          </w:p>
        </w:tc>
        <w:tc>
          <w:tcPr>
            <w:tcW w:w="2126" w:type="dxa"/>
          </w:tcPr>
          <w:p w:rsidR="005B57BF" w:rsidRPr="007D0489" w:rsidRDefault="005B57BF" w:rsidP="00A229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B57BF" w:rsidTr="00252FC3">
        <w:tc>
          <w:tcPr>
            <w:tcW w:w="6521" w:type="dxa"/>
          </w:tcPr>
          <w:p w:rsidR="005B57BF" w:rsidRPr="007D0489" w:rsidRDefault="005B57BF" w:rsidP="00A229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0489">
              <w:rPr>
                <w:sz w:val="28"/>
                <w:szCs w:val="28"/>
              </w:rPr>
              <w:t>Яськова Л..В.</w:t>
            </w:r>
          </w:p>
        </w:tc>
        <w:tc>
          <w:tcPr>
            <w:tcW w:w="2126" w:type="dxa"/>
          </w:tcPr>
          <w:p w:rsidR="005B57BF" w:rsidRPr="007D0489" w:rsidRDefault="005B57BF" w:rsidP="00A229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B57BF" w:rsidTr="00252FC3">
        <w:tc>
          <w:tcPr>
            <w:tcW w:w="6521" w:type="dxa"/>
          </w:tcPr>
          <w:p w:rsidR="005B57BF" w:rsidRPr="007D0489" w:rsidRDefault="005B57BF" w:rsidP="00A229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0489">
              <w:rPr>
                <w:sz w:val="28"/>
                <w:szCs w:val="28"/>
              </w:rPr>
              <w:t>Депутаты</w:t>
            </w:r>
            <w:r>
              <w:rPr>
                <w:sz w:val="28"/>
                <w:szCs w:val="28"/>
              </w:rPr>
              <w:t>,</w:t>
            </w:r>
            <w:r w:rsidRPr="007D0489">
              <w:rPr>
                <w:sz w:val="28"/>
                <w:szCs w:val="28"/>
              </w:rPr>
              <w:t xml:space="preserve"> не работающие на постоянной основе</w:t>
            </w:r>
          </w:p>
        </w:tc>
        <w:tc>
          <w:tcPr>
            <w:tcW w:w="2126" w:type="dxa"/>
          </w:tcPr>
          <w:p w:rsidR="005B57BF" w:rsidRPr="007D0489" w:rsidRDefault="005B57BF" w:rsidP="00A229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</w:tr>
      <w:tr w:rsidR="005B57BF" w:rsidTr="00252FC3">
        <w:tc>
          <w:tcPr>
            <w:tcW w:w="6521" w:type="dxa"/>
          </w:tcPr>
          <w:p w:rsidR="005B57BF" w:rsidRPr="007D0489" w:rsidRDefault="005B57BF" w:rsidP="00A229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5B57BF" w:rsidRDefault="005B57BF" w:rsidP="00A229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</w:tr>
    </w:tbl>
    <w:p w:rsidR="002F2E06" w:rsidRPr="00E17F87" w:rsidRDefault="002F2E06" w:rsidP="00E17F87">
      <w:pPr>
        <w:spacing w:line="276" w:lineRule="auto"/>
        <w:ind w:firstLine="708"/>
        <w:jc w:val="both"/>
        <w:rPr>
          <w:sz w:val="28"/>
          <w:szCs w:val="28"/>
        </w:rPr>
      </w:pPr>
      <w:r w:rsidRPr="001A7387">
        <w:rPr>
          <w:sz w:val="28"/>
          <w:szCs w:val="28"/>
        </w:rPr>
        <w:lastRenderedPageBreak/>
        <w:t xml:space="preserve">В общественной приемной </w:t>
      </w:r>
      <w:r w:rsidR="00EE56BA" w:rsidRPr="001A7387">
        <w:rPr>
          <w:sz w:val="28"/>
          <w:szCs w:val="28"/>
        </w:rPr>
        <w:t>проведен</w:t>
      </w:r>
      <w:r w:rsidR="00EE56BA">
        <w:rPr>
          <w:sz w:val="28"/>
          <w:szCs w:val="28"/>
        </w:rPr>
        <w:t>о</w:t>
      </w:r>
      <w:r w:rsidR="00EE56BA" w:rsidRPr="0088198F">
        <w:rPr>
          <w:sz w:val="28"/>
          <w:szCs w:val="28"/>
        </w:rPr>
        <w:t xml:space="preserve"> </w:t>
      </w:r>
      <w:r w:rsidRPr="0088198F">
        <w:rPr>
          <w:sz w:val="28"/>
          <w:szCs w:val="28"/>
        </w:rPr>
        <w:t>89</w:t>
      </w:r>
      <w:r w:rsidRPr="001A7387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ов</w:t>
      </w:r>
      <w:r w:rsidRPr="001A7387">
        <w:rPr>
          <w:sz w:val="28"/>
          <w:szCs w:val="28"/>
        </w:rPr>
        <w:t xml:space="preserve"> </w:t>
      </w:r>
      <w:r w:rsidR="00EE56BA">
        <w:rPr>
          <w:rFonts w:eastAsia="Calibri"/>
          <w:sz w:val="28"/>
          <w:szCs w:val="28"/>
        </w:rPr>
        <w:t>граждан по личным вопросам</w:t>
      </w:r>
      <w:r w:rsidR="00EE56BA">
        <w:rPr>
          <w:sz w:val="28"/>
          <w:szCs w:val="28"/>
        </w:rPr>
        <w:t xml:space="preserve">, на которых </w:t>
      </w:r>
      <w:r w:rsidR="004E17EA">
        <w:rPr>
          <w:sz w:val="28"/>
          <w:szCs w:val="28"/>
        </w:rPr>
        <w:t>поступило 166 обращений</w:t>
      </w:r>
      <w:r w:rsidRPr="00042B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EE56BA">
        <w:rPr>
          <w:sz w:val="28"/>
          <w:szCs w:val="28"/>
        </w:rPr>
        <w:t>Их н</w:t>
      </w:r>
      <w:r w:rsidRPr="00C8320B">
        <w:rPr>
          <w:sz w:val="28"/>
          <w:szCs w:val="28"/>
        </w:rPr>
        <w:t xml:space="preserve">аибольшее количество </w:t>
      </w:r>
      <w:r w:rsidR="00EE56BA" w:rsidRPr="007D0489">
        <w:rPr>
          <w:sz w:val="28"/>
          <w:szCs w:val="28"/>
        </w:rPr>
        <w:t>–</w:t>
      </w:r>
      <w:r w:rsidR="00EE56BA">
        <w:rPr>
          <w:sz w:val="28"/>
          <w:szCs w:val="28"/>
        </w:rPr>
        <w:t xml:space="preserve"> </w:t>
      </w:r>
      <w:r w:rsidRPr="00C8320B">
        <w:rPr>
          <w:sz w:val="28"/>
          <w:szCs w:val="28"/>
        </w:rPr>
        <w:t xml:space="preserve">к </w:t>
      </w:r>
      <w:r>
        <w:rPr>
          <w:sz w:val="28"/>
          <w:szCs w:val="28"/>
        </w:rPr>
        <w:t>следующим представителям</w:t>
      </w:r>
      <w:r w:rsidR="00EE56BA">
        <w:rPr>
          <w:sz w:val="28"/>
          <w:szCs w:val="28"/>
        </w:rPr>
        <w:t xml:space="preserve"> депутатского корпуса:</w:t>
      </w:r>
      <w:r w:rsidR="00E17F87">
        <w:rPr>
          <w:sz w:val="28"/>
          <w:szCs w:val="28"/>
        </w:rPr>
        <w:t xml:space="preserve"> </w:t>
      </w:r>
      <w:r w:rsidR="00E17F87" w:rsidRPr="00C8320B">
        <w:rPr>
          <w:bCs/>
          <w:sz w:val="28"/>
          <w:szCs w:val="28"/>
        </w:rPr>
        <w:t>Тиньков И.В.</w:t>
      </w:r>
      <w:r w:rsidR="00E17F87">
        <w:rPr>
          <w:bCs/>
          <w:sz w:val="28"/>
          <w:szCs w:val="28"/>
        </w:rPr>
        <w:t xml:space="preserve"> </w:t>
      </w:r>
      <w:r w:rsidR="00E17F87" w:rsidRPr="007D0489">
        <w:rPr>
          <w:sz w:val="28"/>
          <w:szCs w:val="28"/>
        </w:rPr>
        <w:t>–</w:t>
      </w:r>
      <w:r w:rsidR="00E17F87">
        <w:rPr>
          <w:sz w:val="28"/>
          <w:szCs w:val="28"/>
        </w:rPr>
        <w:t xml:space="preserve"> </w:t>
      </w:r>
      <w:r w:rsidR="00E17F87">
        <w:rPr>
          <w:sz w:val="28"/>
          <w:szCs w:val="28"/>
        </w:rPr>
        <w:t>24</w:t>
      </w:r>
      <w:r w:rsidR="00E17F87">
        <w:rPr>
          <w:sz w:val="28"/>
          <w:szCs w:val="28"/>
        </w:rPr>
        <w:t xml:space="preserve">, </w:t>
      </w:r>
      <w:r w:rsidR="00E17F87" w:rsidRPr="00C8320B">
        <w:rPr>
          <w:bCs/>
          <w:sz w:val="28"/>
          <w:szCs w:val="28"/>
        </w:rPr>
        <w:t>Жигаров Ф.А.</w:t>
      </w:r>
      <w:r w:rsidR="00E17F87">
        <w:rPr>
          <w:bCs/>
          <w:sz w:val="28"/>
          <w:szCs w:val="28"/>
        </w:rPr>
        <w:t xml:space="preserve"> </w:t>
      </w:r>
      <w:r w:rsidR="00E17F87" w:rsidRPr="007D0489">
        <w:rPr>
          <w:sz w:val="28"/>
          <w:szCs w:val="28"/>
        </w:rPr>
        <w:t>–</w:t>
      </w:r>
      <w:r w:rsidR="00E17F87">
        <w:rPr>
          <w:sz w:val="28"/>
          <w:szCs w:val="28"/>
        </w:rPr>
        <w:t xml:space="preserve"> </w:t>
      </w:r>
      <w:r w:rsidR="00E17F87">
        <w:rPr>
          <w:bCs/>
          <w:sz w:val="28"/>
          <w:szCs w:val="28"/>
        </w:rPr>
        <w:t xml:space="preserve">20, </w:t>
      </w:r>
      <w:r w:rsidR="00E17F87">
        <w:rPr>
          <w:sz w:val="28"/>
          <w:szCs w:val="28"/>
        </w:rPr>
        <w:t>Двугрошев Н.Д.</w:t>
      </w:r>
      <w:r w:rsidR="00E17F87">
        <w:rPr>
          <w:sz w:val="28"/>
          <w:szCs w:val="28"/>
        </w:rPr>
        <w:t xml:space="preserve"> </w:t>
      </w:r>
      <w:r w:rsidR="00E17F87" w:rsidRPr="007D0489">
        <w:rPr>
          <w:sz w:val="28"/>
          <w:szCs w:val="28"/>
        </w:rPr>
        <w:t>–</w:t>
      </w:r>
      <w:r w:rsidR="00E17F87">
        <w:rPr>
          <w:sz w:val="28"/>
          <w:szCs w:val="28"/>
        </w:rPr>
        <w:t xml:space="preserve"> 10, </w:t>
      </w:r>
      <w:r w:rsidR="00E17F87">
        <w:rPr>
          <w:sz w:val="28"/>
          <w:szCs w:val="28"/>
        </w:rPr>
        <w:t>Ткаченко С.В.</w:t>
      </w:r>
      <w:r w:rsidR="00E17F87">
        <w:rPr>
          <w:sz w:val="28"/>
          <w:szCs w:val="28"/>
        </w:rPr>
        <w:t xml:space="preserve"> </w:t>
      </w:r>
      <w:r w:rsidR="00E17F87" w:rsidRPr="007D0489">
        <w:rPr>
          <w:sz w:val="28"/>
          <w:szCs w:val="28"/>
        </w:rPr>
        <w:t>–</w:t>
      </w:r>
      <w:r w:rsidR="00E17F87">
        <w:rPr>
          <w:sz w:val="28"/>
          <w:szCs w:val="28"/>
        </w:rPr>
        <w:t xml:space="preserve"> 8.</w:t>
      </w:r>
      <w:r>
        <w:rPr>
          <w:sz w:val="28"/>
          <w:szCs w:val="28"/>
        </w:rPr>
        <w:t xml:space="preserve">                 </w:t>
      </w:r>
      <w:r w:rsidR="00E17F87">
        <w:rPr>
          <w:sz w:val="28"/>
          <w:szCs w:val="28"/>
        </w:rPr>
        <w:t xml:space="preserve">                           </w:t>
      </w:r>
    </w:p>
    <w:p w:rsidR="002F2E06" w:rsidRDefault="002F2E06" w:rsidP="00A22966">
      <w:pPr>
        <w:spacing w:line="276" w:lineRule="auto"/>
        <w:ind w:firstLine="709"/>
        <w:jc w:val="both"/>
        <w:rPr>
          <w:sz w:val="28"/>
          <w:szCs w:val="28"/>
        </w:rPr>
      </w:pPr>
      <w:r w:rsidRPr="00FF0E30">
        <w:rPr>
          <w:sz w:val="28"/>
          <w:szCs w:val="28"/>
        </w:rPr>
        <w:t xml:space="preserve">В течение 2018 года председателем </w:t>
      </w:r>
      <w:r>
        <w:rPr>
          <w:sz w:val="28"/>
          <w:szCs w:val="28"/>
        </w:rPr>
        <w:t>городского Совета</w:t>
      </w:r>
      <w:r w:rsidRPr="00FF0E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FF0E30">
        <w:rPr>
          <w:sz w:val="28"/>
          <w:szCs w:val="28"/>
        </w:rPr>
        <w:t xml:space="preserve">первым заместителем, председателем постоянной комиссии Бондаревым Б.А., заместителем председателя постоянной комиссии </w:t>
      </w:r>
      <w:proofErr w:type="spellStart"/>
      <w:r w:rsidRPr="00FF0E30">
        <w:rPr>
          <w:sz w:val="28"/>
          <w:szCs w:val="28"/>
        </w:rPr>
        <w:t>Яськовой</w:t>
      </w:r>
      <w:proofErr w:type="spellEnd"/>
      <w:r w:rsidRPr="00FF0E30">
        <w:rPr>
          <w:sz w:val="28"/>
          <w:szCs w:val="28"/>
        </w:rPr>
        <w:t xml:space="preserve"> Л.В.</w:t>
      </w:r>
      <w:r>
        <w:rPr>
          <w:sz w:val="28"/>
          <w:szCs w:val="28"/>
        </w:rPr>
        <w:t>, депутатами, не работающими на постоянной основе,</w:t>
      </w:r>
      <w:r w:rsidRPr="00FF0E30">
        <w:rPr>
          <w:sz w:val="28"/>
          <w:szCs w:val="28"/>
        </w:rPr>
        <w:t xml:space="preserve">  были рассмотрены все поступившие к ним</w:t>
      </w:r>
      <w:r w:rsidR="003719B2">
        <w:rPr>
          <w:sz w:val="28"/>
          <w:szCs w:val="28"/>
        </w:rPr>
        <w:t xml:space="preserve"> </w:t>
      </w:r>
      <w:bookmarkStart w:id="0" w:name="_GoBack"/>
      <w:bookmarkEnd w:id="0"/>
      <w:r w:rsidRPr="00FF0E30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FF0E30">
        <w:rPr>
          <w:sz w:val="28"/>
          <w:szCs w:val="28"/>
        </w:rPr>
        <w:t>.</w:t>
      </w:r>
    </w:p>
    <w:p w:rsidR="002F2E06" w:rsidRDefault="002F2E06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8320B">
        <w:rPr>
          <w:sz w:val="28"/>
          <w:szCs w:val="28"/>
        </w:rPr>
        <w:t>о характеру обращений</w:t>
      </w:r>
      <w:r>
        <w:rPr>
          <w:sz w:val="28"/>
          <w:szCs w:val="28"/>
        </w:rPr>
        <w:t>, зарегистрированных в городском Совете, вопросы распределились следующим образом:</w:t>
      </w:r>
    </w:p>
    <w:p w:rsidR="002F2E06" w:rsidRPr="0083028A" w:rsidRDefault="002F2E06" w:rsidP="00A22966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D0221A">
        <w:rPr>
          <w:sz w:val="28"/>
          <w:szCs w:val="28"/>
        </w:rPr>
        <w:t xml:space="preserve">1) вопросы коммунального хозяйства – </w:t>
      </w:r>
      <w:r>
        <w:rPr>
          <w:sz w:val="28"/>
          <w:szCs w:val="28"/>
        </w:rPr>
        <w:t>352</w:t>
      </w:r>
      <w:r w:rsidRPr="00D0221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D0221A">
        <w:rPr>
          <w:sz w:val="28"/>
          <w:szCs w:val="28"/>
        </w:rPr>
        <w:t xml:space="preserve"> или </w:t>
      </w:r>
      <w:r>
        <w:rPr>
          <w:sz w:val="28"/>
          <w:szCs w:val="28"/>
        </w:rPr>
        <w:t>52</w:t>
      </w:r>
      <w:r w:rsidRPr="00D0221A">
        <w:rPr>
          <w:sz w:val="28"/>
          <w:szCs w:val="28"/>
        </w:rPr>
        <w:t>%</w:t>
      </w:r>
      <w:r>
        <w:rPr>
          <w:sz w:val="28"/>
          <w:szCs w:val="28"/>
        </w:rPr>
        <w:t xml:space="preserve">, куда </w:t>
      </w:r>
      <w:proofErr w:type="gramStart"/>
      <w:r>
        <w:rPr>
          <w:sz w:val="28"/>
          <w:szCs w:val="28"/>
        </w:rPr>
        <w:t>входят</w:t>
      </w:r>
      <w:proofErr w:type="gramEnd"/>
      <w:r>
        <w:rPr>
          <w:sz w:val="28"/>
          <w:szCs w:val="28"/>
        </w:rPr>
        <w:t xml:space="preserve"> в том числе</w:t>
      </w:r>
      <w:r w:rsidRPr="00D0221A">
        <w:rPr>
          <w:sz w:val="28"/>
          <w:szCs w:val="28"/>
        </w:rPr>
        <w:t xml:space="preserve"> вопросы благоустройства улиц и дворовых территорий – </w:t>
      </w:r>
      <w:r>
        <w:rPr>
          <w:sz w:val="28"/>
          <w:szCs w:val="28"/>
        </w:rPr>
        <w:t>238</w:t>
      </w:r>
      <w:r w:rsidRPr="00D0221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й.</w:t>
      </w:r>
    </w:p>
    <w:p w:rsidR="002F2E06" w:rsidRDefault="002F2E06" w:rsidP="00A22966">
      <w:pPr>
        <w:spacing w:line="276" w:lineRule="auto"/>
        <w:ind w:firstLine="709"/>
        <w:jc w:val="both"/>
        <w:rPr>
          <w:sz w:val="28"/>
          <w:szCs w:val="28"/>
        </w:rPr>
      </w:pPr>
      <w:r w:rsidRPr="001A2CC0">
        <w:rPr>
          <w:sz w:val="28"/>
          <w:szCs w:val="28"/>
        </w:rPr>
        <w:t xml:space="preserve">2) вопросы социальной сферы – </w:t>
      </w:r>
      <w:r>
        <w:rPr>
          <w:sz w:val="28"/>
          <w:szCs w:val="28"/>
        </w:rPr>
        <w:t>76</w:t>
      </w:r>
      <w:r w:rsidRPr="001A2CC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1A2CC0">
        <w:rPr>
          <w:sz w:val="28"/>
          <w:szCs w:val="28"/>
        </w:rPr>
        <w:t xml:space="preserve"> или </w:t>
      </w:r>
      <w:r>
        <w:rPr>
          <w:sz w:val="28"/>
          <w:szCs w:val="28"/>
        </w:rPr>
        <w:t>11</w:t>
      </w:r>
      <w:r w:rsidRPr="001A2CC0">
        <w:rPr>
          <w:sz w:val="28"/>
          <w:szCs w:val="28"/>
        </w:rPr>
        <w:t xml:space="preserve">%. В данную группу вопросов включено: оказание материальной помощи – </w:t>
      </w:r>
      <w:r>
        <w:rPr>
          <w:sz w:val="28"/>
          <w:szCs w:val="28"/>
        </w:rPr>
        <w:t>52</w:t>
      </w:r>
      <w:r w:rsidRPr="001A2CC0">
        <w:rPr>
          <w:sz w:val="28"/>
          <w:szCs w:val="28"/>
        </w:rPr>
        <w:t xml:space="preserve">, вопросы льготного обеспечения нуждающихся граждан – </w:t>
      </w:r>
      <w:r>
        <w:rPr>
          <w:sz w:val="28"/>
          <w:szCs w:val="28"/>
        </w:rPr>
        <w:t xml:space="preserve">12, </w:t>
      </w:r>
      <w:r w:rsidRPr="001A2CC0">
        <w:rPr>
          <w:sz w:val="28"/>
          <w:szCs w:val="28"/>
        </w:rPr>
        <w:t>помощь в</w:t>
      </w:r>
      <w:r>
        <w:rPr>
          <w:sz w:val="28"/>
          <w:szCs w:val="28"/>
        </w:rPr>
        <w:t xml:space="preserve"> </w:t>
      </w:r>
      <w:r w:rsidRPr="001A2CC0">
        <w:rPr>
          <w:sz w:val="28"/>
          <w:szCs w:val="28"/>
        </w:rPr>
        <w:t>трудоустройс</w:t>
      </w:r>
      <w:r>
        <w:rPr>
          <w:sz w:val="28"/>
          <w:szCs w:val="28"/>
        </w:rPr>
        <w:t>тве – 10,</w:t>
      </w:r>
      <w:r w:rsidRPr="001A2CC0">
        <w:rPr>
          <w:sz w:val="28"/>
          <w:szCs w:val="28"/>
        </w:rPr>
        <w:t xml:space="preserve"> </w:t>
      </w:r>
      <w:r>
        <w:rPr>
          <w:sz w:val="28"/>
          <w:szCs w:val="28"/>
        </w:rPr>
        <w:t>сфера образования – 2</w:t>
      </w:r>
      <w:r w:rsidRPr="001A2CC0">
        <w:rPr>
          <w:sz w:val="28"/>
          <w:szCs w:val="28"/>
        </w:rPr>
        <w:t>.</w:t>
      </w:r>
    </w:p>
    <w:p w:rsidR="002F2E06" w:rsidRDefault="002F2E06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деятельность органов МСУ </w:t>
      </w:r>
      <w:r w:rsidRPr="001A2CC0">
        <w:rPr>
          <w:sz w:val="28"/>
          <w:szCs w:val="28"/>
        </w:rPr>
        <w:t xml:space="preserve">– </w:t>
      </w:r>
      <w:r>
        <w:rPr>
          <w:sz w:val="28"/>
          <w:szCs w:val="28"/>
        </w:rPr>
        <w:t>47</w:t>
      </w:r>
      <w:r w:rsidRPr="001A2CC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1A2CC0">
        <w:rPr>
          <w:sz w:val="28"/>
          <w:szCs w:val="28"/>
        </w:rPr>
        <w:t xml:space="preserve"> </w:t>
      </w:r>
      <w:r w:rsidRPr="003E3C72">
        <w:rPr>
          <w:sz w:val="28"/>
          <w:szCs w:val="28"/>
        </w:rPr>
        <w:t>(</w:t>
      </w:r>
      <w:r>
        <w:rPr>
          <w:sz w:val="28"/>
          <w:szCs w:val="28"/>
        </w:rPr>
        <w:t xml:space="preserve">7 </w:t>
      </w:r>
      <w:r w:rsidRPr="003E3C72">
        <w:rPr>
          <w:sz w:val="28"/>
          <w:szCs w:val="28"/>
        </w:rPr>
        <w:t>%);</w:t>
      </w:r>
    </w:p>
    <w:p w:rsidR="002F2E06" w:rsidRDefault="002F2E06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E3C72">
        <w:rPr>
          <w:sz w:val="28"/>
          <w:szCs w:val="28"/>
        </w:rPr>
        <w:t xml:space="preserve">вопросы законности и правопорядка – </w:t>
      </w:r>
      <w:r>
        <w:rPr>
          <w:sz w:val="28"/>
          <w:szCs w:val="28"/>
        </w:rPr>
        <w:t>45</w:t>
      </w:r>
      <w:r w:rsidRPr="003E3C7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3E3C7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7 </w:t>
      </w:r>
      <w:r w:rsidRPr="003E3C72">
        <w:rPr>
          <w:sz w:val="28"/>
          <w:szCs w:val="28"/>
        </w:rPr>
        <w:t>%);</w:t>
      </w:r>
    </w:p>
    <w:p w:rsidR="002F2E06" w:rsidRDefault="002F2E06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4758BC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жилищные вопросы – 30</w:t>
      </w:r>
      <w:r w:rsidRPr="00B31F6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B31F6A">
        <w:rPr>
          <w:sz w:val="28"/>
          <w:szCs w:val="28"/>
        </w:rPr>
        <w:t xml:space="preserve"> </w:t>
      </w:r>
      <w:r w:rsidRPr="003E3C72">
        <w:rPr>
          <w:sz w:val="28"/>
          <w:szCs w:val="28"/>
        </w:rPr>
        <w:t>(</w:t>
      </w:r>
      <w:r>
        <w:rPr>
          <w:sz w:val="28"/>
          <w:szCs w:val="28"/>
        </w:rPr>
        <w:t xml:space="preserve">4 </w:t>
      </w:r>
      <w:r w:rsidRPr="003E3C72">
        <w:rPr>
          <w:sz w:val="28"/>
          <w:szCs w:val="28"/>
        </w:rPr>
        <w:t>%);</w:t>
      </w:r>
    </w:p>
    <w:p w:rsidR="002F2E06" w:rsidRPr="003E3C72" w:rsidRDefault="002F2E06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жалобы на несправедливость </w:t>
      </w:r>
      <w:r w:rsidRPr="003E3C72">
        <w:rPr>
          <w:sz w:val="28"/>
          <w:szCs w:val="28"/>
        </w:rPr>
        <w:t xml:space="preserve">– </w:t>
      </w:r>
      <w:r>
        <w:rPr>
          <w:sz w:val="28"/>
          <w:szCs w:val="28"/>
        </w:rPr>
        <w:t>16</w:t>
      </w:r>
      <w:r w:rsidRPr="003E3C72">
        <w:rPr>
          <w:sz w:val="28"/>
          <w:szCs w:val="28"/>
        </w:rPr>
        <w:t xml:space="preserve"> обращени</w:t>
      </w:r>
      <w:r w:rsidR="005B57BF">
        <w:rPr>
          <w:sz w:val="28"/>
          <w:szCs w:val="28"/>
        </w:rPr>
        <w:t>й</w:t>
      </w:r>
      <w:r w:rsidRPr="003E3C72">
        <w:rPr>
          <w:sz w:val="28"/>
          <w:szCs w:val="28"/>
        </w:rPr>
        <w:t xml:space="preserve"> (</w:t>
      </w:r>
      <w:r>
        <w:rPr>
          <w:sz w:val="28"/>
          <w:szCs w:val="28"/>
        </w:rPr>
        <w:t>3 %).</w:t>
      </w:r>
    </w:p>
    <w:p w:rsidR="005B57BF" w:rsidRDefault="005B57BF" w:rsidP="00A229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внимание, что по вопросам аренды помещений, выборов, гаражных и садоводческих кооперативов, культуры, миграции, охраны окружающей среды, связи, физкультуры поступило менее чем по 5 обращений.</w:t>
      </w:r>
    </w:p>
    <w:p w:rsidR="005B57BF" w:rsidRDefault="005B57BF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благоустройства улиц и дворовых территорий наиболее актуальны в письмах горожан. Треть обращений, от общего числа зарегистрированных, обусловлена тем, что ежегодно предложения избирателей депутатам городского Совета,  имеющие общественное значение,  </w:t>
      </w:r>
      <w:proofErr w:type="gramStart"/>
      <w:r>
        <w:rPr>
          <w:sz w:val="28"/>
          <w:szCs w:val="28"/>
        </w:rPr>
        <w:t>формируются в перечень наказов и реализуются</w:t>
      </w:r>
      <w:proofErr w:type="gramEnd"/>
      <w:r>
        <w:rPr>
          <w:sz w:val="28"/>
          <w:szCs w:val="28"/>
        </w:rPr>
        <w:t xml:space="preserve"> за счет средств бюджета города.</w:t>
      </w:r>
    </w:p>
    <w:p w:rsidR="005B57BF" w:rsidRDefault="005B57BF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в числе наиболее актуальных вопросов, обозначаемых жителями: оплата жилищно-коммунальных услуг, эксплуатация и ремонт жилищного фонда, содержание общего имущества многоквартирных домов. Эти темы преобладают  в жалобах  на работу управляющих компаний, оплату жилищно-коммунальных услуг и взносов в Фонд капитального ремонта.</w:t>
      </w:r>
    </w:p>
    <w:p w:rsidR="005B57BF" w:rsidRDefault="005B57BF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пятого созыва наметилась положительная динамика по количеству обращений по вопросам законности и правопорядка: их становится меньше, что свидетельствует об эффективной деятельности органов правопорядка по контролю оперативной обстановки в городе и адекватности мер по её стабилизации.  </w:t>
      </w:r>
    </w:p>
    <w:p w:rsidR="005B57BF" w:rsidRDefault="005B57BF" w:rsidP="00A2296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социальной сферы остаются в центре внимания граждан, обратившихся к депутатам. Значительное количество обращений касалось просьб  граждан и общественных организаций об оказании материальной</w:t>
      </w:r>
      <w:r>
        <w:rPr>
          <w:color w:val="76923C" w:themeColor="accent3" w:themeShade="BF"/>
          <w:sz w:val="28"/>
          <w:szCs w:val="28"/>
        </w:rPr>
        <w:t xml:space="preserve"> </w:t>
      </w:r>
      <w:r>
        <w:rPr>
          <w:sz w:val="28"/>
          <w:szCs w:val="28"/>
        </w:rPr>
        <w:t>помощи. Несмотря на то, что представительный орган не имеет бюджетного фонда для оказания финансовой помощи, депутаты выделяют личные средства заявителям, имеющим крайне малый семейный доход и находящимся в трудных жизненных ситуациях</w:t>
      </w:r>
      <w:r>
        <w:rPr>
          <w:rFonts w:ascii="Open Sans" w:hAnsi="Open Sans" w:cs="Open Sans"/>
          <w:sz w:val="20"/>
          <w:szCs w:val="20"/>
        </w:rPr>
        <w:t xml:space="preserve">. </w:t>
      </w:r>
      <w:r>
        <w:rPr>
          <w:sz w:val="28"/>
          <w:szCs w:val="28"/>
        </w:rPr>
        <w:t xml:space="preserve">Незначительно количество обращений </w:t>
      </w:r>
      <w:r>
        <w:rPr>
          <w:sz w:val="28"/>
          <w:szCs w:val="28"/>
          <w:shd w:val="clear" w:color="auto" w:fill="FFFFFF"/>
        </w:rPr>
        <w:t>по вопросам здравоохранения, социальной защиты</w:t>
      </w:r>
      <w:r>
        <w:rPr>
          <w:sz w:val="28"/>
          <w:szCs w:val="28"/>
        </w:rPr>
        <w:t xml:space="preserve"> – эти вопросы </w:t>
      </w:r>
      <w:proofErr w:type="gramStart"/>
      <w:r>
        <w:rPr>
          <w:sz w:val="28"/>
          <w:szCs w:val="28"/>
        </w:rPr>
        <w:t>находятся в ведении субъекта и разрешаются</w:t>
      </w:r>
      <w:proofErr w:type="gramEnd"/>
      <w:r>
        <w:rPr>
          <w:sz w:val="28"/>
          <w:szCs w:val="28"/>
        </w:rPr>
        <w:t xml:space="preserve"> на уровне администрации Липецкой области. </w:t>
      </w:r>
    </w:p>
    <w:p w:rsidR="005B57BF" w:rsidRDefault="005B57BF" w:rsidP="00A22966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Наметилась тенденция уменьшения числа обращений по вопросам образования. Это результат проводимой работы по решению проблем с устройством детей в дошкольные образовательные учреждения и совершенствованию механизмов оплаты за пребывание в детских садах, организации горячего питания в них.</w:t>
      </w:r>
    </w:p>
    <w:p w:rsidR="00A22966" w:rsidRDefault="00A22966" w:rsidP="00A2296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 обращений, поступивших в адрес городского Совета, своевременно рассмотрено по существу поставленных вопросов в соответствии с законодательством, обратившимся даны исчерпывающие ответы. </w:t>
      </w:r>
    </w:p>
    <w:p w:rsidR="00A22966" w:rsidRDefault="00A22966" w:rsidP="00A2296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рассмотрения по компетенции в полномочные органы направлено 310 обращений. До получения мотивированного ответа заявителем обращения находились на контроле.</w:t>
      </w:r>
    </w:p>
    <w:p w:rsidR="00A22966" w:rsidRDefault="00A22966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объективной оценки и принятия возможных мер по решению проблем, обозначенных горожанами, 3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, подлежащих перенаправлению в другие органы, рассматривались на заседаниях профильных комиссий, в том числе с выездом на место. </w:t>
      </w:r>
    </w:p>
    <w:p w:rsidR="00A22966" w:rsidRDefault="00A22966" w:rsidP="00A229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участии депутатского корпуса положительно решаются вопросы содержания многоквартирных домов, электро и  водоснабжения, санитарной обрезки зеленых насаждений, обеспечения средствами оргтехники общественных организаций, установки светофорных объектов и обустройства дорожной инфраструктуры, благоустройства дворовых территорий,  оказывается помощь по составлению исковых заявлений в целях защиты прав граждан.</w:t>
      </w:r>
    </w:p>
    <w:p w:rsidR="00A22966" w:rsidRDefault="00A22966" w:rsidP="00A22966">
      <w:pPr>
        <w:spacing w:line="276" w:lineRule="auto"/>
        <w:ind w:firstLine="708"/>
        <w:jc w:val="both"/>
        <w:rPr>
          <w:sz w:val="28"/>
          <w:szCs w:val="28"/>
        </w:rPr>
      </w:pPr>
      <w:r w:rsidRPr="00361BEB">
        <w:rPr>
          <w:rFonts w:eastAsia="Calibri"/>
          <w:sz w:val="28"/>
          <w:szCs w:val="28"/>
        </w:rPr>
        <w:lastRenderedPageBreak/>
        <w:t>20 б</w:t>
      </w:r>
      <w:r>
        <w:rPr>
          <w:rFonts w:eastAsia="Calibri"/>
          <w:sz w:val="28"/>
          <w:szCs w:val="28"/>
        </w:rPr>
        <w:t xml:space="preserve">лагодарственных писем </w:t>
      </w:r>
      <w:r>
        <w:rPr>
          <w:sz w:val="28"/>
          <w:szCs w:val="28"/>
        </w:rPr>
        <w:t>поступило з</w:t>
      </w:r>
      <w:r w:rsidRPr="0019382D">
        <w:rPr>
          <w:sz w:val="28"/>
          <w:szCs w:val="28"/>
        </w:rPr>
        <w:t xml:space="preserve">а </w:t>
      </w:r>
      <w:r>
        <w:rPr>
          <w:sz w:val="28"/>
          <w:szCs w:val="28"/>
        </w:rPr>
        <w:t>прошедший год</w:t>
      </w:r>
      <w:r w:rsidRPr="0019382D">
        <w:rPr>
          <w:sz w:val="28"/>
          <w:szCs w:val="28"/>
        </w:rPr>
        <w:t xml:space="preserve"> в адрес депутатов Липецкого городского Совета: </w:t>
      </w:r>
      <w:proofErr w:type="spellStart"/>
      <w:r w:rsidRPr="00EB58C5">
        <w:rPr>
          <w:sz w:val="28"/>
          <w:szCs w:val="28"/>
        </w:rPr>
        <w:t>Жигаров</w:t>
      </w:r>
      <w:r>
        <w:rPr>
          <w:sz w:val="28"/>
          <w:szCs w:val="28"/>
        </w:rPr>
        <w:t>а</w:t>
      </w:r>
      <w:proofErr w:type="spellEnd"/>
      <w:r w:rsidRPr="00EB58C5">
        <w:rPr>
          <w:sz w:val="28"/>
          <w:szCs w:val="28"/>
        </w:rPr>
        <w:t xml:space="preserve"> Ф.А, </w:t>
      </w:r>
      <w:proofErr w:type="spellStart"/>
      <w:r w:rsidRPr="00EB58C5">
        <w:rPr>
          <w:sz w:val="28"/>
          <w:szCs w:val="28"/>
        </w:rPr>
        <w:t>Каменецко</w:t>
      </w:r>
      <w:r>
        <w:rPr>
          <w:sz w:val="28"/>
          <w:szCs w:val="28"/>
        </w:rPr>
        <w:t>го</w:t>
      </w:r>
      <w:proofErr w:type="spellEnd"/>
      <w:r w:rsidRPr="00EB58C5">
        <w:rPr>
          <w:sz w:val="28"/>
          <w:szCs w:val="28"/>
        </w:rPr>
        <w:t xml:space="preserve"> С.Г., </w:t>
      </w:r>
      <w:r>
        <w:rPr>
          <w:sz w:val="28"/>
          <w:szCs w:val="28"/>
        </w:rPr>
        <w:t xml:space="preserve">Ткаченко С.В., </w:t>
      </w:r>
      <w:proofErr w:type="spellStart"/>
      <w:r>
        <w:rPr>
          <w:sz w:val="28"/>
          <w:szCs w:val="28"/>
        </w:rPr>
        <w:t>Яськовой</w:t>
      </w:r>
      <w:proofErr w:type="spellEnd"/>
      <w:r>
        <w:rPr>
          <w:sz w:val="28"/>
          <w:szCs w:val="28"/>
        </w:rPr>
        <w:t xml:space="preserve"> Л.В., </w:t>
      </w:r>
      <w:proofErr w:type="spellStart"/>
      <w:r w:rsidRPr="00EB58C5">
        <w:rPr>
          <w:sz w:val="28"/>
          <w:szCs w:val="28"/>
        </w:rPr>
        <w:t>Нижегородов</w:t>
      </w:r>
      <w:r>
        <w:rPr>
          <w:sz w:val="28"/>
          <w:szCs w:val="28"/>
        </w:rPr>
        <w:t>а</w:t>
      </w:r>
      <w:proofErr w:type="spellEnd"/>
      <w:r w:rsidRPr="00EB58C5">
        <w:rPr>
          <w:sz w:val="28"/>
          <w:szCs w:val="28"/>
        </w:rPr>
        <w:t xml:space="preserve"> Р.В., </w:t>
      </w:r>
      <w:proofErr w:type="spellStart"/>
      <w:r w:rsidRPr="00EB58C5">
        <w:rPr>
          <w:sz w:val="28"/>
          <w:szCs w:val="28"/>
        </w:rPr>
        <w:t>Тюниной</w:t>
      </w:r>
      <w:proofErr w:type="spellEnd"/>
      <w:r w:rsidRPr="00EB58C5">
        <w:rPr>
          <w:sz w:val="28"/>
          <w:szCs w:val="28"/>
        </w:rPr>
        <w:t xml:space="preserve"> С.В., </w:t>
      </w:r>
      <w:proofErr w:type="spellStart"/>
      <w:r w:rsidRPr="00EB58C5">
        <w:rPr>
          <w:sz w:val="28"/>
          <w:szCs w:val="28"/>
        </w:rPr>
        <w:t>Шкляров</w:t>
      </w:r>
      <w:r>
        <w:rPr>
          <w:sz w:val="28"/>
          <w:szCs w:val="28"/>
        </w:rPr>
        <w:t>а</w:t>
      </w:r>
      <w:proofErr w:type="spellEnd"/>
      <w:r w:rsidRPr="00EB58C5">
        <w:rPr>
          <w:sz w:val="28"/>
          <w:szCs w:val="28"/>
        </w:rPr>
        <w:t xml:space="preserve"> Ю.Д., Ковал</w:t>
      </w:r>
      <w:r>
        <w:rPr>
          <w:sz w:val="28"/>
          <w:szCs w:val="28"/>
        </w:rPr>
        <w:t>я</w:t>
      </w:r>
      <w:r w:rsidRPr="00EB58C5">
        <w:rPr>
          <w:sz w:val="28"/>
          <w:szCs w:val="28"/>
        </w:rPr>
        <w:t xml:space="preserve"> С.А.,  Прокопенко О.Р., Быковских Н.И., Литовкин</w:t>
      </w:r>
      <w:r>
        <w:rPr>
          <w:sz w:val="28"/>
          <w:szCs w:val="28"/>
        </w:rPr>
        <w:t>а</w:t>
      </w:r>
      <w:r w:rsidRPr="00EB58C5">
        <w:rPr>
          <w:sz w:val="28"/>
          <w:szCs w:val="28"/>
        </w:rPr>
        <w:t xml:space="preserve"> В.А., Афанасьев</w:t>
      </w:r>
      <w:r>
        <w:rPr>
          <w:sz w:val="28"/>
          <w:szCs w:val="28"/>
        </w:rPr>
        <w:t>а</w:t>
      </w:r>
      <w:r w:rsidRPr="00EB58C5">
        <w:rPr>
          <w:sz w:val="28"/>
          <w:szCs w:val="28"/>
        </w:rPr>
        <w:t xml:space="preserve"> А.М., Урываевой В.И., Крупнов</w:t>
      </w:r>
      <w:r>
        <w:rPr>
          <w:sz w:val="28"/>
          <w:szCs w:val="28"/>
        </w:rPr>
        <w:t>а</w:t>
      </w:r>
      <w:r w:rsidRPr="00EB58C5">
        <w:rPr>
          <w:sz w:val="28"/>
          <w:szCs w:val="28"/>
        </w:rPr>
        <w:t xml:space="preserve"> А.С., Бондарев</w:t>
      </w:r>
      <w:r>
        <w:rPr>
          <w:sz w:val="28"/>
          <w:szCs w:val="28"/>
        </w:rPr>
        <w:t>а</w:t>
      </w:r>
      <w:r w:rsidRPr="00EB58C5">
        <w:rPr>
          <w:sz w:val="28"/>
          <w:szCs w:val="28"/>
        </w:rPr>
        <w:t xml:space="preserve"> Б.А., Давыдов</w:t>
      </w:r>
      <w:r>
        <w:rPr>
          <w:sz w:val="28"/>
          <w:szCs w:val="28"/>
        </w:rPr>
        <w:t>а</w:t>
      </w:r>
      <w:r w:rsidRPr="00EB58C5">
        <w:rPr>
          <w:sz w:val="28"/>
          <w:szCs w:val="28"/>
        </w:rPr>
        <w:t xml:space="preserve"> А.А.</w:t>
      </w:r>
    </w:p>
    <w:p w:rsidR="00307177" w:rsidRPr="00EE56BA" w:rsidRDefault="00307177" w:rsidP="00EE56BA">
      <w:pPr>
        <w:pStyle w:val="2"/>
        <w:shd w:val="clear" w:color="auto" w:fill="auto"/>
        <w:tabs>
          <w:tab w:val="left" w:pos="1071"/>
        </w:tabs>
        <w:spacing w:line="240" w:lineRule="auto"/>
        <w:ind w:right="20" w:firstLine="567"/>
        <w:jc w:val="both"/>
        <w:rPr>
          <w:sz w:val="28"/>
          <w:szCs w:val="28"/>
        </w:rPr>
      </w:pPr>
    </w:p>
    <w:sectPr w:rsidR="00307177" w:rsidRPr="00EE56BA" w:rsidSect="00A22966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94" w:rsidRDefault="00445394" w:rsidP="005B57BF">
      <w:r>
        <w:separator/>
      </w:r>
    </w:p>
  </w:endnote>
  <w:endnote w:type="continuationSeparator" w:id="0">
    <w:p w:rsidR="00445394" w:rsidRDefault="00445394" w:rsidP="005B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94" w:rsidRDefault="00445394" w:rsidP="005B57BF">
      <w:r>
        <w:separator/>
      </w:r>
    </w:p>
  </w:footnote>
  <w:footnote w:type="continuationSeparator" w:id="0">
    <w:p w:rsidR="00445394" w:rsidRDefault="00445394" w:rsidP="005B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863139"/>
      <w:docPartObj>
        <w:docPartGallery w:val="Page Numbers (Top of Page)"/>
        <w:docPartUnique/>
      </w:docPartObj>
    </w:sdtPr>
    <w:sdtContent>
      <w:p w:rsidR="005B57BF" w:rsidRDefault="005B57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9B2">
          <w:rPr>
            <w:noProof/>
          </w:rPr>
          <w:t>4</w:t>
        </w:r>
        <w:r>
          <w:fldChar w:fldCharType="end"/>
        </w:r>
      </w:p>
    </w:sdtContent>
  </w:sdt>
  <w:p w:rsidR="005B57BF" w:rsidRDefault="005B57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B5"/>
    <w:multiLevelType w:val="hybridMultilevel"/>
    <w:tmpl w:val="417C9580"/>
    <w:lvl w:ilvl="0" w:tplc="5770C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B57CF8"/>
    <w:multiLevelType w:val="hybridMultilevel"/>
    <w:tmpl w:val="263AEA8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2B"/>
    <w:rsid w:val="002F2E06"/>
    <w:rsid w:val="00307177"/>
    <w:rsid w:val="003719B2"/>
    <w:rsid w:val="00445394"/>
    <w:rsid w:val="004E17EA"/>
    <w:rsid w:val="0055452B"/>
    <w:rsid w:val="005B57BF"/>
    <w:rsid w:val="005E7EB5"/>
    <w:rsid w:val="00816B65"/>
    <w:rsid w:val="009D672D"/>
    <w:rsid w:val="00A22966"/>
    <w:rsid w:val="00AF6DA1"/>
    <w:rsid w:val="00D343EF"/>
    <w:rsid w:val="00DB669D"/>
    <w:rsid w:val="00DE4276"/>
    <w:rsid w:val="00E17F87"/>
    <w:rsid w:val="00EE56BA"/>
    <w:rsid w:val="00F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uiPriority w:val="99"/>
    <w:rsid w:val="002F2E06"/>
    <w:pPr>
      <w:widowControl w:val="0"/>
      <w:shd w:val="clear" w:color="auto" w:fill="FFFFFF"/>
      <w:spacing w:line="312" w:lineRule="exact"/>
      <w:jc w:val="center"/>
    </w:pPr>
    <w:rPr>
      <w:color w:val="000000"/>
      <w:sz w:val="27"/>
      <w:szCs w:val="27"/>
    </w:rPr>
  </w:style>
  <w:style w:type="table" w:styleId="a3">
    <w:name w:val="Table Grid"/>
    <w:basedOn w:val="a1"/>
    <w:uiPriority w:val="59"/>
    <w:rsid w:val="002F2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E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57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57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B57BF"/>
    <w:pPr>
      <w:spacing w:before="100" w:beforeAutospacing="1" w:after="100" w:afterAutospacing="1"/>
    </w:pPr>
  </w:style>
  <w:style w:type="character" w:customStyle="1" w:styleId="aa">
    <w:name w:val="Без интервала Знак"/>
    <w:basedOn w:val="a0"/>
    <w:link w:val="ab"/>
    <w:uiPriority w:val="1"/>
    <w:locked/>
    <w:rsid w:val="00A22966"/>
  </w:style>
  <w:style w:type="paragraph" w:styleId="ab">
    <w:name w:val="No Spacing"/>
    <w:link w:val="aa"/>
    <w:uiPriority w:val="1"/>
    <w:qFormat/>
    <w:rsid w:val="00A229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uiPriority w:val="99"/>
    <w:rsid w:val="002F2E06"/>
    <w:pPr>
      <w:widowControl w:val="0"/>
      <w:shd w:val="clear" w:color="auto" w:fill="FFFFFF"/>
      <w:spacing w:line="312" w:lineRule="exact"/>
      <w:jc w:val="center"/>
    </w:pPr>
    <w:rPr>
      <w:color w:val="000000"/>
      <w:sz w:val="27"/>
      <w:szCs w:val="27"/>
    </w:rPr>
  </w:style>
  <w:style w:type="table" w:styleId="a3">
    <w:name w:val="Table Grid"/>
    <w:basedOn w:val="a1"/>
    <w:uiPriority w:val="59"/>
    <w:rsid w:val="002F2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E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57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57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B57BF"/>
    <w:pPr>
      <w:spacing w:before="100" w:beforeAutospacing="1" w:after="100" w:afterAutospacing="1"/>
    </w:pPr>
  </w:style>
  <w:style w:type="character" w:customStyle="1" w:styleId="aa">
    <w:name w:val="Без интервала Знак"/>
    <w:basedOn w:val="a0"/>
    <w:link w:val="ab"/>
    <w:uiPriority w:val="1"/>
    <w:locked/>
    <w:rsid w:val="00A22966"/>
  </w:style>
  <w:style w:type="paragraph" w:styleId="ab">
    <w:name w:val="No Spacing"/>
    <w:link w:val="aa"/>
    <w:uiPriority w:val="1"/>
    <w:qFormat/>
    <w:rsid w:val="00A22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murinaiv</dc:creator>
  <cp:lastModifiedBy>murinaiv</cp:lastModifiedBy>
  <cp:revision>8</cp:revision>
  <dcterms:created xsi:type="dcterms:W3CDTF">2019-05-13T13:09:00Z</dcterms:created>
  <dcterms:modified xsi:type="dcterms:W3CDTF">2019-05-16T14:32:00Z</dcterms:modified>
</cp:coreProperties>
</file>